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6D1" w:rsidRPr="00D006D1" w:rsidRDefault="00D006D1" w:rsidP="00D006D1">
      <w:pPr>
        <w:tabs>
          <w:tab w:val="left" w:pos="8280"/>
        </w:tabs>
        <w:spacing w:afterLines="20" w:after="48"/>
        <w:rPr>
          <w:rStyle w:val="af9"/>
          <w:rFonts w:ascii="Arial" w:eastAsia="宋体" w:hAnsi="Arial" w:cs="Arial"/>
        </w:rPr>
      </w:pPr>
      <w:bookmarkStart w:id="0" w:name="Title"/>
      <w:bookmarkEnd w:id="0"/>
      <w:r w:rsidRPr="00D006D1">
        <w:rPr>
          <w:rStyle w:val="af9"/>
          <w:rFonts w:ascii="Arial" w:eastAsia="宋体" w:hAnsi="Arial" w:cs="Arial"/>
        </w:rPr>
        <w:t xml:space="preserve">3GPP </w:t>
      </w:r>
      <w:proofErr w:type="spellStart"/>
      <w:r w:rsidRPr="00D006D1">
        <w:rPr>
          <w:rStyle w:val="af9"/>
          <w:rFonts w:ascii="Arial" w:eastAsia="宋体" w:hAnsi="Arial" w:cs="Arial"/>
        </w:rPr>
        <w:t>TSG</w:t>
      </w:r>
      <w:proofErr w:type="spellEnd"/>
      <w:r w:rsidRPr="00D006D1">
        <w:rPr>
          <w:rStyle w:val="af9"/>
          <w:rFonts w:ascii="Arial" w:eastAsia="宋体" w:hAnsi="Arial" w:cs="Arial"/>
        </w:rPr>
        <w:t>-RAN WG4 Meeting # 97-e</w:t>
      </w:r>
      <w:r w:rsidRPr="00D006D1" w:rsidDel="00277FAB">
        <w:rPr>
          <w:rStyle w:val="af9"/>
          <w:rFonts w:ascii="Arial" w:eastAsia="宋体" w:hAnsi="Arial" w:cs="Arial"/>
        </w:rPr>
        <w:t xml:space="preserve"> </w:t>
      </w:r>
      <w:r w:rsidRPr="00D006D1">
        <w:rPr>
          <w:rStyle w:val="af9"/>
          <w:rFonts w:ascii="Arial" w:eastAsia="宋体" w:hAnsi="Arial" w:cs="Arial"/>
        </w:rPr>
        <w:tab/>
      </w:r>
      <w:r w:rsidR="00C81870" w:rsidRPr="00C81870">
        <w:rPr>
          <w:rStyle w:val="af9"/>
          <w:rFonts w:ascii="Arial" w:eastAsia="宋体" w:hAnsi="Arial" w:cs="Arial"/>
        </w:rPr>
        <w:t>R4-2014392</w:t>
      </w:r>
    </w:p>
    <w:p w:rsidR="00D006D1" w:rsidRPr="00D006D1" w:rsidRDefault="00D006D1" w:rsidP="00D006D1">
      <w:pPr>
        <w:tabs>
          <w:tab w:val="left" w:pos="8280"/>
        </w:tabs>
        <w:spacing w:afterLines="20" w:after="48"/>
        <w:rPr>
          <w:rStyle w:val="af9"/>
          <w:rFonts w:ascii="Arial" w:eastAsia="宋体" w:hAnsi="Arial" w:cs="Arial"/>
        </w:rPr>
      </w:pPr>
      <w:r w:rsidRPr="00D006D1">
        <w:rPr>
          <w:rStyle w:val="af9"/>
          <w:rFonts w:ascii="Arial" w:eastAsia="宋体" w:hAnsi="Arial" w:cs="Arial"/>
        </w:rPr>
        <w:t>Electronic Meeting, 2-13 Nov.,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44F13">
        <w:rPr>
          <w:rFonts w:ascii="Arial" w:hAnsi="Arial" w:cs="Arial" w:hint="eastAsia"/>
          <w:b w:val="0"/>
        </w:rPr>
        <w:t>Discussion o</w:t>
      </w:r>
      <w:r w:rsidR="004720CD">
        <w:rPr>
          <w:rFonts w:ascii="Arial" w:hAnsi="Arial" w:cs="Arial" w:hint="eastAsia"/>
          <w:b w:val="0"/>
        </w:rPr>
        <w:t>n</w:t>
      </w:r>
      <w:r w:rsidR="00844F13">
        <w:rPr>
          <w:rFonts w:ascii="Arial" w:hAnsi="Arial" w:cs="Arial" w:hint="eastAsia"/>
          <w:b w:val="0"/>
        </w:rPr>
        <w:t xml:space="preserve"> SAR solutions of</w:t>
      </w:r>
      <w:r w:rsidR="00844F13" w:rsidRPr="00844F13">
        <w:rPr>
          <w:rFonts w:ascii="Arial" w:hAnsi="Arial" w:cs="Arial"/>
          <w:b w:val="0"/>
        </w:rPr>
        <w:t xml:space="preserve"> </w:t>
      </w:r>
      <w:proofErr w:type="spellStart"/>
      <w:r w:rsidR="00844F13" w:rsidRPr="00844F13">
        <w:rPr>
          <w:rFonts w:ascii="Arial" w:hAnsi="Arial" w:cs="Arial"/>
          <w:b w:val="0"/>
        </w:rPr>
        <w:t>TDD</w:t>
      </w:r>
      <w:proofErr w:type="spellEnd"/>
      <w:r w:rsidR="00844F13" w:rsidRPr="00844F13">
        <w:rPr>
          <w:rFonts w:ascii="Arial" w:hAnsi="Arial" w:cs="Arial"/>
          <w:b w:val="0"/>
        </w:rPr>
        <w:t xml:space="preserve"> intra-band contiguous UL CA</w:t>
      </w:r>
      <w:r w:rsidR="00844F13" w:rsidRPr="00844F13">
        <w:rPr>
          <w:rFonts w:ascii="Arial" w:hAnsi="Arial" w:cs="Arial" w:hint="eastAsia"/>
          <w:b w:val="0"/>
        </w:rPr>
        <w:t xml:space="preserve"> </w:t>
      </w:r>
      <w:proofErr w:type="spellStart"/>
      <w:r w:rsidR="00844F13" w:rsidRPr="00844F13">
        <w:rPr>
          <w:rFonts w:ascii="Arial" w:hAnsi="Arial" w:cs="Arial"/>
          <w:b w:val="0"/>
        </w:rPr>
        <w:t>HPUE</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601FD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01FD3" w:rsidRPr="00D006D1">
        <w:rPr>
          <w:rFonts w:ascii="Arial" w:hAnsi="Arial" w:cs="Arial" w:hint="eastAsia"/>
          <w:b w:val="0"/>
        </w:rPr>
        <w:t>1</w:t>
      </w:r>
      <w:r w:rsidR="00844F13">
        <w:rPr>
          <w:rFonts w:ascii="Arial" w:hAnsi="Arial" w:cs="Arial" w:hint="eastAsia"/>
          <w:b w:val="0"/>
        </w:rPr>
        <w:t>2</w:t>
      </w:r>
      <w:r w:rsidR="00601FD3" w:rsidRPr="00D006D1">
        <w:rPr>
          <w:rFonts w:ascii="Arial" w:hAnsi="Arial" w:cs="Arial" w:hint="eastAsia"/>
          <w:b w:val="0"/>
        </w:rPr>
        <w:t>.2.2</w:t>
      </w:r>
      <w:r w:rsidR="00844F13">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845C77">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7C4206" w:rsidRDefault="003942C0" w:rsidP="004C4C7A">
      <w:pPr>
        <w:spacing w:before="0" w:after="120"/>
        <w:jc w:val="left"/>
        <w:rPr>
          <w:sz w:val="20"/>
          <w:lang w:val="en-US"/>
        </w:rPr>
      </w:pPr>
      <w:r>
        <w:rPr>
          <w:rFonts w:hint="eastAsia"/>
          <w:sz w:val="20"/>
          <w:lang w:val="en-US"/>
        </w:rPr>
        <w:t xml:space="preserve">This contribution discusses the SAR solutions for </w:t>
      </w:r>
      <w:proofErr w:type="spellStart"/>
      <w:r>
        <w:rPr>
          <w:rFonts w:hint="eastAsia"/>
          <w:sz w:val="20"/>
          <w:lang w:val="en-US"/>
        </w:rPr>
        <w:t>TDD</w:t>
      </w:r>
      <w:proofErr w:type="spellEnd"/>
      <w:r>
        <w:rPr>
          <w:rFonts w:hint="eastAsia"/>
          <w:sz w:val="20"/>
          <w:lang w:val="en-US"/>
        </w:rPr>
        <w:t xml:space="preserve"> intra-band contiguous UL CA. A solution similar with single carrier is proposed.</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B140D8" w:rsidRDefault="00B140D8" w:rsidP="00B140D8">
      <w:pPr>
        <w:pStyle w:val="2ChapterXXStatementh22Header2l2Level2Headhea"/>
        <w:numPr>
          <w:ilvl w:val="1"/>
          <w:numId w:val="4"/>
        </w:numPr>
      </w:pPr>
      <w:r>
        <w:rPr>
          <w:rFonts w:hint="eastAsia"/>
        </w:rPr>
        <w:t xml:space="preserve">Current RAN4 candidate </w:t>
      </w:r>
      <w:r w:rsidR="006474C6">
        <w:rPr>
          <w:rFonts w:hint="eastAsia"/>
        </w:rPr>
        <w:t xml:space="preserve">SAR </w:t>
      </w:r>
      <w:r>
        <w:rPr>
          <w:rFonts w:hint="eastAsia"/>
        </w:rPr>
        <w:t>solutions</w:t>
      </w:r>
    </w:p>
    <w:p w:rsidR="006474C6" w:rsidRDefault="006474C6" w:rsidP="00B140D8">
      <w:r>
        <w:rPr>
          <w:rFonts w:hint="eastAsia"/>
          <w:iCs/>
        </w:rPr>
        <w:t xml:space="preserve">SAR issue has been discussed in several </w:t>
      </w:r>
      <w:proofErr w:type="gramStart"/>
      <w:r>
        <w:rPr>
          <w:rFonts w:hint="eastAsia"/>
          <w:iCs/>
        </w:rPr>
        <w:t>topics,</w:t>
      </w:r>
      <w:proofErr w:type="gramEnd"/>
      <w:r>
        <w:rPr>
          <w:rFonts w:hint="eastAsia"/>
          <w:iCs/>
        </w:rPr>
        <w:t xml:space="preserve"> the solutions agreed or under discussion can be in the candidate solutions for this topic. </w:t>
      </w:r>
      <w:r>
        <w:rPr>
          <w:rFonts w:hint="eastAsia"/>
        </w:rPr>
        <w:t xml:space="preserve">For single carrier, </w:t>
      </w:r>
      <w:proofErr w:type="spellStart"/>
      <w:r>
        <w:rPr>
          <w:rFonts w:hint="eastAsia"/>
        </w:rPr>
        <w:t>TDD</w:t>
      </w:r>
      <w:proofErr w:type="spellEnd"/>
      <w:r>
        <w:rPr>
          <w:rFonts w:hint="eastAsia"/>
        </w:rPr>
        <w:t xml:space="preserve"> PC2 is supported by the spec. For </w:t>
      </w:r>
      <w:proofErr w:type="spellStart"/>
      <w:r>
        <w:rPr>
          <w:rFonts w:hint="eastAsia"/>
        </w:rPr>
        <w:t>TDD</w:t>
      </w:r>
      <w:proofErr w:type="spellEnd"/>
      <w:r>
        <w:rPr>
          <w:rFonts w:hint="eastAsia"/>
        </w:rPr>
        <w:t xml:space="preserve"> PC2 single carrier, reporting maximum uplink duty cycle and fall back to PC3 when the capability is exceeded are the solution. For EN-DC, the spec defines the scheme for </w:t>
      </w:r>
      <w:proofErr w:type="spellStart"/>
      <w:r>
        <w:rPr>
          <w:rFonts w:hint="eastAsia"/>
        </w:rPr>
        <w:t>TDD+TDD</w:t>
      </w:r>
      <w:proofErr w:type="spellEnd"/>
      <w:r>
        <w:rPr>
          <w:rFonts w:hint="eastAsia"/>
        </w:rPr>
        <w:t xml:space="preserve"> EN-DC with each carrier 23 </w:t>
      </w:r>
      <w:proofErr w:type="spellStart"/>
      <w:r>
        <w:rPr>
          <w:rFonts w:hint="eastAsia"/>
        </w:rPr>
        <w:t>dBm</w:t>
      </w:r>
      <w:proofErr w:type="spellEnd"/>
      <w:r>
        <w:rPr>
          <w:rFonts w:hint="eastAsia"/>
        </w:rPr>
        <w:t xml:space="preserve">. The solution is that </w:t>
      </w:r>
      <w:proofErr w:type="spellStart"/>
      <w:r>
        <w:rPr>
          <w:rFonts w:hint="eastAsia"/>
        </w:rPr>
        <w:t>UE</w:t>
      </w:r>
      <w:proofErr w:type="spellEnd"/>
      <w:r>
        <w:rPr>
          <w:rFonts w:hint="eastAsia"/>
        </w:rPr>
        <w:t xml:space="preserve"> reports NR (</w:t>
      </w:r>
      <w:proofErr w:type="spellStart"/>
      <w:r>
        <w:rPr>
          <w:rFonts w:hint="eastAsia"/>
        </w:rPr>
        <w:t>SCG</w:t>
      </w:r>
      <w:proofErr w:type="spellEnd"/>
      <w:r>
        <w:rPr>
          <w:rFonts w:hint="eastAsia"/>
        </w:rPr>
        <w:t xml:space="preserve">) maximum uplink duty cycle for every </w:t>
      </w:r>
      <w:proofErr w:type="spellStart"/>
      <w:r>
        <w:rPr>
          <w:rFonts w:hint="eastAsia"/>
        </w:rPr>
        <w:t>LTE</w:t>
      </w:r>
      <w:proofErr w:type="spellEnd"/>
      <w:r>
        <w:rPr>
          <w:rFonts w:hint="eastAsia"/>
        </w:rPr>
        <w:t xml:space="preserve"> (MCG) </w:t>
      </w:r>
      <w:proofErr w:type="spellStart"/>
      <w:r>
        <w:rPr>
          <w:rFonts w:hint="eastAsia"/>
        </w:rPr>
        <w:t>TDD</w:t>
      </w:r>
      <w:proofErr w:type="spellEnd"/>
      <w:r>
        <w:rPr>
          <w:rFonts w:hint="eastAsia"/>
        </w:rPr>
        <w:t xml:space="preserve"> configuration and EN-DC falls back to PC3 when the capability is exceeded. For </w:t>
      </w:r>
      <w:proofErr w:type="spellStart"/>
      <w:r>
        <w:rPr>
          <w:rFonts w:hint="eastAsia"/>
        </w:rPr>
        <w:t>FDD+TDD</w:t>
      </w:r>
      <w:proofErr w:type="spellEnd"/>
      <w:r>
        <w:rPr>
          <w:rFonts w:hint="eastAsia"/>
        </w:rPr>
        <w:t xml:space="preserve"> EN-DC, the solution was approved in last RAN4 meeting. The solution is based on the duty cycle and P-</w:t>
      </w:r>
      <w:proofErr w:type="spellStart"/>
      <w:r>
        <w:rPr>
          <w:rFonts w:hint="eastAsia"/>
        </w:rPr>
        <w:t>MPR</w:t>
      </w:r>
      <w:proofErr w:type="spellEnd"/>
      <w:r>
        <w:rPr>
          <w:rFonts w:hint="eastAsia"/>
        </w:rPr>
        <w:t xml:space="preserve">. The duty cycle solution is that </w:t>
      </w:r>
      <w:proofErr w:type="spellStart"/>
      <w:r>
        <w:rPr>
          <w:rFonts w:hint="eastAsia"/>
        </w:rPr>
        <w:t>UE</w:t>
      </w:r>
      <w:proofErr w:type="spellEnd"/>
      <w:r>
        <w:rPr>
          <w:rFonts w:hint="eastAsia"/>
        </w:rPr>
        <w:t xml:space="preserve"> </w:t>
      </w:r>
      <w:r w:rsidRPr="00342A62">
        <w:rPr>
          <w:rFonts w:hint="eastAsia"/>
        </w:rPr>
        <w:t>report</w:t>
      </w:r>
      <w:r>
        <w:rPr>
          <w:rFonts w:hint="eastAsia"/>
        </w:rPr>
        <w:t>s</w:t>
      </w:r>
      <w:r w:rsidRPr="00342A62">
        <w:rPr>
          <w:rFonts w:hint="eastAsia"/>
        </w:rPr>
        <w:t xml:space="preserve"> </w:t>
      </w:r>
      <w:proofErr w:type="spellStart"/>
      <w:r w:rsidRPr="00342A62">
        <w:rPr>
          <w:rFonts w:hint="eastAsia"/>
        </w:rPr>
        <w:t>Duty</w:t>
      </w:r>
      <w:r w:rsidRPr="00342A62">
        <w:rPr>
          <w:rFonts w:hint="eastAsia"/>
          <w:vertAlign w:val="subscript"/>
        </w:rPr>
        <w:t>NR</w:t>
      </w:r>
      <w:proofErr w:type="spellEnd"/>
      <w:r w:rsidRPr="00342A62">
        <w:rPr>
          <w:rFonts w:hint="eastAsia"/>
        </w:rPr>
        <w:t xml:space="preserve"> based on </w:t>
      </w:r>
      <w:proofErr w:type="spellStart"/>
      <w:r w:rsidRPr="00342A62">
        <w:rPr>
          <w:rFonts w:hint="eastAsia"/>
        </w:rPr>
        <w:t>LTE</w:t>
      </w:r>
      <w:proofErr w:type="spellEnd"/>
      <w:r w:rsidR="004941F4">
        <w:rPr>
          <w:rFonts w:hint="eastAsia"/>
        </w:rPr>
        <w:t xml:space="preserve"> (MCG and </w:t>
      </w:r>
      <w:proofErr w:type="spellStart"/>
      <w:r w:rsidR="004941F4">
        <w:rPr>
          <w:rFonts w:hint="eastAsia"/>
        </w:rPr>
        <w:t>FDD</w:t>
      </w:r>
      <w:proofErr w:type="spellEnd"/>
      <w:r w:rsidR="004941F4">
        <w:rPr>
          <w:rFonts w:hint="eastAsia"/>
        </w:rPr>
        <w:t>)</w:t>
      </w:r>
      <w:r w:rsidRPr="00342A62">
        <w:rPr>
          <w:rFonts w:hint="eastAsia"/>
        </w:rPr>
        <w:t xml:space="preserve"> fixed duty</w:t>
      </w:r>
      <w:r>
        <w:rPr>
          <w:rFonts w:hint="eastAsia"/>
        </w:rPr>
        <w:t xml:space="preserve"> </w:t>
      </w:r>
      <w:r w:rsidRPr="00342A62">
        <w:rPr>
          <w:rFonts w:hint="eastAsia"/>
        </w:rPr>
        <w:t xml:space="preserve">cycle with </w:t>
      </w:r>
      <w:proofErr w:type="spellStart"/>
      <w:r w:rsidRPr="00342A62">
        <w:rPr>
          <w:rFonts w:hint="eastAsia"/>
        </w:rPr>
        <w:t>LTE</w:t>
      </w:r>
      <w:proofErr w:type="spellEnd"/>
      <w:r w:rsidRPr="00342A62">
        <w:rPr>
          <w:rFonts w:hint="eastAsia"/>
        </w:rPr>
        <w:t xml:space="preserve"> maximum transmit power 23dBm</w:t>
      </w:r>
      <w:r>
        <w:rPr>
          <w:rFonts w:hint="eastAsia"/>
        </w:rPr>
        <w:t>.</w:t>
      </w:r>
      <w:r w:rsidR="007A3FEA">
        <w:rPr>
          <w:rFonts w:hint="eastAsia"/>
        </w:rPr>
        <w:t xml:space="preserve"> When NW configures a capability exceeding the reported </w:t>
      </w:r>
      <w:proofErr w:type="spellStart"/>
      <w:r w:rsidR="007A3FEA">
        <w:rPr>
          <w:rFonts w:hint="eastAsia"/>
        </w:rPr>
        <w:t>UE</w:t>
      </w:r>
      <w:proofErr w:type="spellEnd"/>
      <w:r w:rsidR="007A3FEA">
        <w:rPr>
          <w:rFonts w:hint="eastAsia"/>
        </w:rPr>
        <w:t xml:space="preserve"> capability, </w:t>
      </w:r>
      <w:proofErr w:type="spellStart"/>
      <w:r w:rsidR="007A3FEA">
        <w:rPr>
          <w:rFonts w:hint="eastAsia"/>
        </w:rPr>
        <w:t>UE</w:t>
      </w:r>
      <w:proofErr w:type="spellEnd"/>
      <w:r w:rsidR="007A3FEA">
        <w:rPr>
          <w:rFonts w:hint="eastAsia"/>
        </w:rPr>
        <w:t xml:space="preserve"> uses P-</w:t>
      </w:r>
      <w:proofErr w:type="spellStart"/>
      <w:r w:rsidR="007A3FEA">
        <w:rPr>
          <w:rFonts w:hint="eastAsia"/>
        </w:rPr>
        <w:t>MPR</w:t>
      </w:r>
      <w:proofErr w:type="spellEnd"/>
      <w:r w:rsidR="007A3FEA">
        <w:rPr>
          <w:rFonts w:hint="eastAsia"/>
        </w:rPr>
        <w:t xml:space="preserve"> scheme to guarantee the SAR performance</w:t>
      </w:r>
      <w:r>
        <w:rPr>
          <w:rFonts w:hint="eastAsia"/>
        </w:rPr>
        <w:t>.</w:t>
      </w:r>
    </w:p>
    <w:p w:rsidR="00AF5973" w:rsidRPr="006B2A9A" w:rsidRDefault="00AF5973" w:rsidP="00B140D8">
      <w:pPr>
        <w:rPr>
          <w:b/>
          <w:iCs/>
        </w:rPr>
      </w:pPr>
      <w:r w:rsidRPr="006B2A9A">
        <w:rPr>
          <w:rFonts w:hint="eastAsia"/>
          <w:b/>
        </w:rPr>
        <w:t>Observation 1: Duty cycle based solution and fall back/P-</w:t>
      </w:r>
      <w:proofErr w:type="spellStart"/>
      <w:r w:rsidRPr="006B2A9A">
        <w:rPr>
          <w:rFonts w:hint="eastAsia"/>
          <w:b/>
        </w:rPr>
        <w:t>MPR</w:t>
      </w:r>
      <w:proofErr w:type="spellEnd"/>
      <w:r w:rsidRPr="006B2A9A">
        <w:rPr>
          <w:rFonts w:hint="eastAsia"/>
          <w:b/>
        </w:rPr>
        <w:t xml:space="preserve"> solution </w:t>
      </w:r>
      <w:r w:rsidR="006B2A9A">
        <w:rPr>
          <w:rFonts w:hint="eastAsia"/>
          <w:b/>
        </w:rPr>
        <w:t>were</w:t>
      </w:r>
      <w:r w:rsidRPr="006B2A9A">
        <w:rPr>
          <w:rFonts w:hint="eastAsia"/>
          <w:b/>
        </w:rPr>
        <w:t xml:space="preserve"> chosen </w:t>
      </w:r>
      <w:r w:rsidRPr="006B2A9A">
        <w:rPr>
          <w:b/>
        </w:rPr>
        <w:t>for the</w:t>
      </w:r>
      <w:r w:rsidRPr="006B2A9A">
        <w:rPr>
          <w:rFonts w:hint="eastAsia"/>
          <w:b/>
        </w:rPr>
        <w:t xml:space="preserve"> closed </w:t>
      </w:r>
      <w:proofErr w:type="spellStart"/>
      <w:r w:rsidRPr="006B2A9A">
        <w:rPr>
          <w:rFonts w:hint="eastAsia"/>
          <w:b/>
        </w:rPr>
        <w:t>HPUE</w:t>
      </w:r>
      <w:proofErr w:type="spellEnd"/>
      <w:r w:rsidRPr="006B2A9A">
        <w:rPr>
          <w:rFonts w:hint="eastAsia"/>
          <w:b/>
        </w:rPr>
        <w:t xml:space="preserve"> topics.</w:t>
      </w:r>
    </w:p>
    <w:p w:rsidR="00B140D8" w:rsidRDefault="00B140D8" w:rsidP="00D7450A">
      <w:pPr>
        <w:pStyle w:val="2ChapterXXStatementh22Header2l2Level2Headhea"/>
        <w:numPr>
          <w:ilvl w:val="1"/>
          <w:numId w:val="4"/>
        </w:numPr>
      </w:pPr>
      <w:r>
        <w:rPr>
          <w:rFonts w:hint="eastAsia"/>
        </w:rPr>
        <w:t>Current RAN1 transmission</w:t>
      </w:r>
      <w:r w:rsidR="00930222">
        <w:rPr>
          <w:rFonts w:hint="eastAsia"/>
        </w:rPr>
        <w:t xml:space="preserve"> power</w:t>
      </w:r>
      <w:r>
        <w:rPr>
          <w:rFonts w:hint="eastAsia"/>
        </w:rPr>
        <w:t xml:space="preserve"> prioritizations</w:t>
      </w:r>
    </w:p>
    <w:p w:rsidR="00B140D8" w:rsidRPr="00930222" w:rsidRDefault="00930222" w:rsidP="00383C18">
      <w:pPr>
        <w:rPr>
          <w:lang w:val="en-US"/>
        </w:rPr>
      </w:pPr>
      <w:r>
        <w:rPr>
          <w:rFonts w:hint="eastAsia"/>
          <w:lang w:val="en-US"/>
        </w:rPr>
        <w:t xml:space="preserve">For carrier aggregation transmission power, RAN1 has procedures to decide the priority order of the physical channels or UL carriers. The following was copied from </w:t>
      </w:r>
      <w:proofErr w:type="spellStart"/>
      <w:r>
        <w:rPr>
          <w:rFonts w:hint="eastAsia"/>
          <w:lang w:val="en-US"/>
        </w:rPr>
        <w:t>TS</w:t>
      </w:r>
      <w:proofErr w:type="spellEnd"/>
      <w:r>
        <w:rPr>
          <w:rFonts w:hint="eastAsia"/>
          <w:lang w:val="en-US"/>
        </w:rPr>
        <w:t xml:space="preserve"> 38.213,</w:t>
      </w:r>
    </w:p>
    <w:p w:rsidR="00D7450A" w:rsidRDefault="00D7450A" w:rsidP="00383C18">
      <w:r>
        <w:rPr>
          <w:rFonts w:hint="eastAsia"/>
        </w:rPr>
        <w:t>------------------------------------------------------------------------------------</w:t>
      </w:r>
    </w:p>
    <w:p w:rsidR="00B140D8" w:rsidRPr="00B140D8" w:rsidRDefault="00B140D8" w:rsidP="00B140D8">
      <w:pPr>
        <w:rPr>
          <w:iCs/>
        </w:rPr>
      </w:pPr>
      <w:bookmarkStart w:id="2" w:name="_Toc29917274"/>
      <w:bookmarkStart w:id="3" w:name="_Toc29899537"/>
      <w:bookmarkStart w:id="4" w:name="_Toc29899119"/>
      <w:bookmarkStart w:id="5" w:name="_Toc29894820"/>
      <w:bookmarkStart w:id="6" w:name="_Toc26719389"/>
      <w:bookmarkStart w:id="7" w:name="_Toc20311564"/>
      <w:bookmarkStart w:id="8" w:name="_Toc12021452"/>
      <w:r w:rsidRPr="00B140D8">
        <w:rPr>
          <w:iCs/>
        </w:rPr>
        <w:t>7.5</w:t>
      </w:r>
      <w:r>
        <w:rPr>
          <w:rFonts w:hint="eastAsia"/>
          <w:iCs/>
        </w:rPr>
        <w:t xml:space="preserve"> </w:t>
      </w:r>
      <w:r w:rsidRPr="00B140D8">
        <w:rPr>
          <w:iCs/>
        </w:rPr>
        <w:t>Prioritizations for transmission power reductions</w:t>
      </w:r>
      <w:bookmarkEnd w:id="2"/>
      <w:bookmarkEnd w:id="3"/>
      <w:bookmarkEnd w:id="4"/>
      <w:bookmarkEnd w:id="5"/>
      <w:bookmarkEnd w:id="6"/>
      <w:bookmarkEnd w:id="7"/>
      <w:bookmarkEnd w:id="8"/>
    </w:p>
    <w:p w:rsidR="00B140D8" w:rsidRDefault="00B140D8" w:rsidP="00B140D8">
      <w:pPr>
        <w:rPr>
          <w:iCs/>
        </w:rPr>
      </w:pPr>
      <w:r w:rsidRPr="00D7450A">
        <w:rPr>
          <w:highlight w:val="yellow"/>
        </w:rPr>
        <w:t>For single cell operation with two uplink carriers or for operation with carrier aggregation</w:t>
      </w:r>
      <w:r>
        <w:t>, if a</w:t>
      </w:r>
      <w:r>
        <w:rPr>
          <w:iCs/>
        </w:rPr>
        <w:t xml:space="preserve"> total </w:t>
      </w:r>
      <w:proofErr w:type="spellStart"/>
      <w:r>
        <w:rPr>
          <w:iCs/>
        </w:rPr>
        <w:t>UE</w:t>
      </w:r>
      <w:proofErr w:type="spellEnd"/>
      <w:r>
        <w:rPr>
          <w:iCs/>
        </w:rPr>
        <w:t xml:space="preserve"> transmit power for </w:t>
      </w:r>
      <w:proofErr w:type="spellStart"/>
      <w:r>
        <w:rPr>
          <w:iCs/>
        </w:rPr>
        <w:t>PUSCH</w:t>
      </w:r>
      <w:proofErr w:type="spellEnd"/>
      <w:r>
        <w:rPr>
          <w:iCs/>
        </w:rPr>
        <w:t xml:space="preserve"> or </w:t>
      </w:r>
      <w:proofErr w:type="spellStart"/>
      <w:r>
        <w:rPr>
          <w:iCs/>
        </w:rPr>
        <w:t>PUCCH</w:t>
      </w:r>
      <w:proofErr w:type="spellEnd"/>
      <w:r>
        <w:rPr>
          <w:iCs/>
        </w:rPr>
        <w:t xml:space="preserve"> or </w:t>
      </w:r>
      <w:proofErr w:type="spellStart"/>
      <w:r>
        <w:rPr>
          <w:iCs/>
        </w:rPr>
        <w:t>PRACH</w:t>
      </w:r>
      <w:proofErr w:type="spellEnd"/>
      <w:r>
        <w:rPr>
          <w:iCs/>
        </w:rPr>
        <w:t xml:space="preserve"> or SRS transmissions on serving cells in a frequency range in a respective transmission occasion </w:t>
      </w:r>
      <w:r>
        <w:rPr>
          <w:iCs/>
          <w:noProof/>
          <w:position w:val="-6"/>
          <w:lang w:val="en-US"/>
        </w:rPr>
        <w:drawing>
          <wp:inline distT="0" distB="0" distL="0" distR="0">
            <wp:extent cx="100330" cy="1809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330" cy="180975"/>
                    </a:xfrm>
                    <a:prstGeom prst="rect">
                      <a:avLst/>
                    </a:prstGeom>
                    <a:noFill/>
                    <a:ln>
                      <a:noFill/>
                    </a:ln>
                  </pic:spPr>
                </pic:pic>
              </a:graphicData>
            </a:graphic>
          </wp:inline>
        </w:drawing>
      </w:r>
      <w:r>
        <w:rPr>
          <w:iCs/>
        </w:rPr>
        <w:t xml:space="preserve"> would exceed </w:t>
      </w:r>
      <w:r>
        <w:rPr>
          <w:iCs/>
          <w:noProof/>
          <w:position w:val="-10"/>
          <w:lang w:val="en-US"/>
        </w:rPr>
        <w:drawing>
          <wp:inline distT="0" distB="0" distL="0" distR="0">
            <wp:extent cx="466725" cy="18097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iCs/>
        </w:rPr>
        <w:t xml:space="preserve">, where </w:t>
      </w:r>
      <w:r>
        <w:rPr>
          <w:iCs/>
          <w:noProof/>
          <w:position w:val="-10"/>
          <w:lang w:val="en-US"/>
        </w:rPr>
        <w:drawing>
          <wp:inline distT="0" distB="0" distL="0" distR="0">
            <wp:extent cx="466725" cy="1809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iCs/>
        </w:rPr>
        <w:t xml:space="preserve"> is the linear value of </w:t>
      </w:r>
      <w:r>
        <w:rPr>
          <w:iCs/>
          <w:noProof/>
          <w:position w:val="-10"/>
          <w:lang w:val="en-US"/>
        </w:rPr>
        <w:drawing>
          <wp:inline distT="0" distB="0" distL="0" distR="0">
            <wp:extent cx="466725" cy="1809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iCs/>
        </w:rPr>
        <w:t xml:space="preserve"> in transmission occasion </w:t>
      </w:r>
      <w:r>
        <w:rPr>
          <w:iCs/>
          <w:noProof/>
          <w:position w:val="-6"/>
          <w:lang w:val="en-US"/>
        </w:rPr>
        <w:drawing>
          <wp:inline distT="0" distB="0" distL="0" distR="0">
            <wp:extent cx="100330"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330" cy="180975"/>
                    </a:xfrm>
                    <a:prstGeom prst="rect">
                      <a:avLst/>
                    </a:prstGeom>
                    <a:noFill/>
                    <a:ln>
                      <a:noFill/>
                    </a:ln>
                  </pic:spPr>
                </pic:pic>
              </a:graphicData>
            </a:graphic>
          </wp:inline>
        </w:drawing>
      </w:r>
      <w:r>
        <w:rPr>
          <w:iCs/>
        </w:rPr>
        <w:t xml:space="preserve"> as defined in [8-1, </w:t>
      </w:r>
      <w:proofErr w:type="spellStart"/>
      <w:r>
        <w:rPr>
          <w:iCs/>
        </w:rPr>
        <w:t>TS</w:t>
      </w:r>
      <w:proofErr w:type="spellEnd"/>
      <w:r>
        <w:rPr>
          <w:iCs/>
        </w:rPr>
        <w:t xml:space="preserve"> 38.101-1] for FR1 </w:t>
      </w:r>
      <w:r>
        <w:rPr>
          <w:lang w:val="en-US"/>
        </w:rPr>
        <w:t>and [8-2, TS38.101-2]</w:t>
      </w:r>
      <w:r>
        <w:rPr>
          <w:iCs/>
          <w:lang w:val="en-US"/>
        </w:rPr>
        <w:t xml:space="preserve"> </w:t>
      </w:r>
      <w:r>
        <w:rPr>
          <w:iCs/>
        </w:rPr>
        <w:t xml:space="preserve">for FR2, the </w:t>
      </w:r>
      <w:proofErr w:type="spellStart"/>
      <w:r>
        <w:rPr>
          <w:iCs/>
        </w:rPr>
        <w:t>UE</w:t>
      </w:r>
      <w:proofErr w:type="spellEnd"/>
      <w:r>
        <w:rPr>
          <w:iCs/>
        </w:rPr>
        <w:t xml:space="preserve"> allocates power to </w:t>
      </w:r>
      <w:proofErr w:type="spellStart"/>
      <w:r>
        <w:t>PUSCH</w:t>
      </w:r>
      <w:proofErr w:type="spellEnd"/>
      <w:r>
        <w:t>/</w:t>
      </w:r>
      <w:proofErr w:type="spellStart"/>
      <w:r>
        <w:t>PUCCH</w:t>
      </w:r>
      <w:proofErr w:type="spellEnd"/>
      <w:r>
        <w:t>/</w:t>
      </w:r>
      <w:proofErr w:type="spellStart"/>
      <w:r>
        <w:t>PRACH</w:t>
      </w:r>
      <w:proofErr w:type="spellEnd"/>
      <w:r>
        <w:rPr>
          <w:iCs/>
        </w:rPr>
        <w:t xml:space="preserve">/SRS transmissions </w:t>
      </w:r>
      <w:r w:rsidRPr="00D7450A">
        <w:rPr>
          <w:iCs/>
          <w:highlight w:val="yellow"/>
        </w:rPr>
        <w:t>according to the following priority order (in descending order)</w:t>
      </w:r>
      <w:r>
        <w:rPr>
          <w:iCs/>
        </w:rPr>
        <w:t xml:space="preserve"> so that the total </w:t>
      </w:r>
      <w:proofErr w:type="spellStart"/>
      <w:r>
        <w:rPr>
          <w:iCs/>
        </w:rPr>
        <w:t>UE</w:t>
      </w:r>
      <w:proofErr w:type="spellEnd"/>
      <w:r>
        <w:rPr>
          <w:iCs/>
        </w:rPr>
        <w:t xml:space="preserve"> transmit power for transmissions on serving cells in the frequency range is smaller than or equal to </w:t>
      </w:r>
      <w:r>
        <w:rPr>
          <w:iCs/>
          <w:noProof/>
          <w:position w:val="-10"/>
          <w:lang w:val="en-US"/>
        </w:rPr>
        <w:drawing>
          <wp:inline distT="0" distB="0" distL="0" distR="0">
            <wp:extent cx="466725" cy="180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iCs/>
        </w:rPr>
        <w:t xml:space="preserve"> for that frequency range in every symbol of transmission occasion </w:t>
      </w:r>
      <w:r>
        <w:rPr>
          <w:iCs/>
          <w:noProof/>
          <w:position w:val="-6"/>
          <w:lang w:val="en-US"/>
        </w:rPr>
        <w:drawing>
          <wp:inline distT="0" distB="0" distL="0" distR="0">
            <wp:extent cx="10033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330" cy="180975"/>
                    </a:xfrm>
                    <a:prstGeom prst="rect">
                      <a:avLst/>
                    </a:prstGeom>
                    <a:noFill/>
                    <a:ln>
                      <a:noFill/>
                    </a:ln>
                  </pic:spPr>
                </pic:pic>
              </a:graphicData>
            </a:graphic>
          </wp:inline>
        </w:drawing>
      </w:r>
      <w:r>
        <w:rPr>
          <w:iCs/>
        </w:rPr>
        <w:t xml:space="preserve">. When determining a total transmit power for serving cells in a frequency range in a symbol of transmission occasion </w:t>
      </w:r>
      <w:r>
        <w:rPr>
          <w:iCs/>
          <w:noProof/>
          <w:position w:val="-6"/>
          <w:lang w:val="en-US"/>
        </w:rPr>
        <w:drawing>
          <wp:inline distT="0" distB="0" distL="0" distR="0">
            <wp:extent cx="100330"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330" cy="180975"/>
                    </a:xfrm>
                    <a:prstGeom prst="rect">
                      <a:avLst/>
                    </a:prstGeom>
                    <a:noFill/>
                    <a:ln>
                      <a:noFill/>
                    </a:ln>
                  </pic:spPr>
                </pic:pic>
              </a:graphicData>
            </a:graphic>
          </wp:inline>
        </w:drawing>
      </w:r>
      <w:r>
        <w:rPr>
          <w:iCs/>
        </w:rPr>
        <w:t xml:space="preserve">, the </w:t>
      </w:r>
      <w:proofErr w:type="spellStart"/>
      <w:r>
        <w:rPr>
          <w:iCs/>
        </w:rPr>
        <w:t>UE</w:t>
      </w:r>
      <w:proofErr w:type="spellEnd"/>
      <w:r>
        <w:rPr>
          <w:iCs/>
        </w:rPr>
        <w:t xml:space="preserve"> does not include power for transmissions starting after the symbol of transmission occasion </w:t>
      </w:r>
      <w:r>
        <w:rPr>
          <w:iCs/>
          <w:noProof/>
          <w:position w:val="-6"/>
          <w:lang w:val="en-US"/>
        </w:rPr>
        <w:drawing>
          <wp:inline distT="0" distB="0" distL="0" distR="0">
            <wp:extent cx="100330"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330" cy="180975"/>
                    </a:xfrm>
                    <a:prstGeom prst="rect">
                      <a:avLst/>
                    </a:prstGeom>
                    <a:noFill/>
                    <a:ln>
                      <a:noFill/>
                    </a:ln>
                  </pic:spPr>
                </pic:pic>
              </a:graphicData>
            </a:graphic>
          </wp:inline>
        </w:drawing>
      </w:r>
      <w:r>
        <w:rPr>
          <w:iCs/>
        </w:rPr>
        <w:t xml:space="preserve">. The total </w:t>
      </w:r>
      <w:proofErr w:type="spellStart"/>
      <w:r>
        <w:rPr>
          <w:iCs/>
        </w:rPr>
        <w:t>UE</w:t>
      </w:r>
      <w:proofErr w:type="spellEnd"/>
      <w:r>
        <w:rPr>
          <w:iCs/>
        </w:rPr>
        <w:t xml:space="preserve"> transmit power in a symbol of a slot is defined as the sum of the linear values of </w:t>
      </w:r>
      <w:proofErr w:type="spellStart"/>
      <w:r>
        <w:rPr>
          <w:iCs/>
        </w:rPr>
        <w:t>UE</w:t>
      </w:r>
      <w:proofErr w:type="spellEnd"/>
      <w:r>
        <w:rPr>
          <w:iCs/>
        </w:rPr>
        <w:t xml:space="preserve"> transmit powers for </w:t>
      </w:r>
      <w:proofErr w:type="spellStart"/>
      <w:r>
        <w:rPr>
          <w:iCs/>
        </w:rPr>
        <w:t>PUSCH</w:t>
      </w:r>
      <w:proofErr w:type="spellEnd"/>
      <w:r>
        <w:rPr>
          <w:iCs/>
        </w:rPr>
        <w:t xml:space="preserve">, </w:t>
      </w:r>
      <w:proofErr w:type="spellStart"/>
      <w:r>
        <w:rPr>
          <w:iCs/>
        </w:rPr>
        <w:t>PUCCH</w:t>
      </w:r>
      <w:proofErr w:type="spellEnd"/>
      <w:r>
        <w:rPr>
          <w:iCs/>
        </w:rPr>
        <w:t xml:space="preserve">, </w:t>
      </w:r>
      <w:proofErr w:type="spellStart"/>
      <w:r>
        <w:rPr>
          <w:iCs/>
        </w:rPr>
        <w:t>PRACH</w:t>
      </w:r>
      <w:proofErr w:type="spellEnd"/>
      <w:r>
        <w:rPr>
          <w:iCs/>
        </w:rPr>
        <w:t xml:space="preserve">, and SRS in the symbol of the slot. </w:t>
      </w:r>
    </w:p>
    <w:p w:rsidR="00B140D8" w:rsidRDefault="00B140D8" w:rsidP="00B140D8">
      <w:pPr>
        <w:pStyle w:val="B10"/>
      </w:pPr>
      <w:r>
        <w:t>-</w:t>
      </w:r>
      <w:r>
        <w:tab/>
      </w:r>
      <w:proofErr w:type="spellStart"/>
      <w:r>
        <w:t>PRACH</w:t>
      </w:r>
      <w:proofErr w:type="spellEnd"/>
      <w:r>
        <w:t xml:space="preserve"> transmission on the </w:t>
      </w:r>
      <w:proofErr w:type="spellStart"/>
      <w:r>
        <w:t>PCell</w:t>
      </w:r>
      <w:proofErr w:type="spellEnd"/>
    </w:p>
    <w:p w:rsidR="00B140D8" w:rsidRDefault="00B140D8" w:rsidP="00B140D8">
      <w:pPr>
        <w:pStyle w:val="B10"/>
        <w:rPr>
          <w:lang w:val="en-US"/>
        </w:rPr>
      </w:pPr>
      <w:r>
        <w:lastRenderedPageBreak/>
        <w:t>-</w:t>
      </w:r>
      <w:r>
        <w:tab/>
      </w:r>
      <w:proofErr w:type="spellStart"/>
      <w:r>
        <w:t>PUCCH</w:t>
      </w:r>
      <w:proofErr w:type="spellEnd"/>
      <w:r>
        <w:t xml:space="preserve"> transmission with </w:t>
      </w:r>
      <w:proofErr w:type="spellStart"/>
      <w:r>
        <w:rPr>
          <w:lang w:val="en-US"/>
        </w:rPr>
        <w:t>HARQ-ACK</w:t>
      </w:r>
      <w:proofErr w:type="spellEnd"/>
      <w:r>
        <w:rPr>
          <w:lang w:val="en-US"/>
        </w:rPr>
        <w:t xml:space="preserve"> information, and/or SR, and/or </w:t>
      </w:r>
      <w:proofErr w:type="spellStart"/>
      <w:r>
        <w:rPr>
          <w:lang w:val="en-US"/>
        </w:rPr>
        <w:t>LRR</w:t>
      </w:r>
      <w:proofErr w:type="spellEnd"/>
      <w:r>
        <w:rPr>
          <w:lang w:val="en-US"/>
        </w:rPr>
        <w:t>,</w:t>
      </w:r>
      <w:r>
        <w:t xml:space="preserve"> or </w:t>
      </w:r>
      <w:proofErr w:type="spellStart"/>
      <w:r>
        <w:t>PUSCH</w:t>
      </w:r>
      <w:proofErr w:type="spellEnd"/>
      <w:r>
        <w:t xml:space="preserve"> transmission with </w:t>
      </w:r>
      <w:proofErr w:type="spellStart"/>
      <w:r>
        <w:t>HARQ-ACK</w:t>
      </w:r>
      <w:proofErr w:type="spellEnd"/>
      <w:r>
        <w:rPr>
          <w:lang w:val="en-US"/>
        </w:rPr>
        <w:t xml:space="preserve"> information</w:t>
      </w:r>
    </w:p>
    <w:p w:rsidR="00B140D8" w:rsidRDefault="00B140D8" w:rsidP="00B140D8">
      <w:pPr>
        <w:pStyle w:val="B10"/>
        <w:rPr>
          <w:lang w:val="x-none"/>
        </w:rPr>
      </w:pPr>
      <w:r>
        <w:t>-</w:t>
      </w:r>
      <w:r>
        <w:tab/>
      </w:r>
      <w:proofErr w:type="spellStart"/>
      <w:r>
        <w:t>PUCCH</w:t>
      </w:r>
      <w:proofErr w:type="spellEnd"/>
      <w:r>
        <w:t xml:space="preserve"> transmission with CSI or </w:t>
      </w:r>
      <w:proofErr w:type="spellStart"/>
      <w:r>
        <w:t>PUSCH</w:t>
      </w:r>
      <w:proofErr w:type="spellEnd"/>
      <w:r>
        <w:t xml:space="preserve"> transmission with CSI</w:t>
      </w:r>
    </w:p>
    <w:p w:rsidR="00B140D8" w:rsidRDefault="00B140D8" w:rsidP="00B140D8">
      <w:pPr>
        <w:pStyle w:val="B10"/>
      </w:pPr>
      <w:r>
        <w:t>-</w:t>
      </w:r>
      <w:r>
        <w:tab/>
      </w:r>
      <w:proofErr w:type="spellStart"/>
      <w:r>
        <w:t>PUSCH</w:t>
      </w:r>
      <w:proofErr w:type="spellEnd"/>
      <w:r>
        <w:t xml:space="preserve"> transmission without </w:t>
      </w:r>
      <w:proofErr w:type="spellStart"/>
      <w:r>
        <w:t>HARQ-ACK</w:t>
      </w:r>
      <w:proofErr w:type="spellEnd"/>
      <w:r>
        <w:rPr>
          <w:lang w:val="en-US"/>
        </w:rPr>
        <w:t xml:space="preserve"> information</w:t>
      </w:r>
      <w:r>
        <w:t xml:space="preserve"> or CSI and, for Type-2 random access procedure, </w:t>
      </w:r>
      <w:proofErr w:type="spellStart"/>
      <w:r>
        <w:t>PUSCH</w:t>
      </w:r>
      <w:proofErr w:type="spellEnd"/>
      <w:r>
        <w:t xml:space="preserve"> transmission on the </w:t>
      </w:r>
      <w:proofErr w:type="spellStart"/>
      <w:r>
        <w:t>PCell</w:t>
      </w:r>
      <w:proofErr w:type="spellEnd"/>
    </w:p>
    <w:p w:rsidR="00B140D8" w:rsidRDefault="00B140D8" w:rsidP="00B140D8">
      <w:pPr>
        <w:pStyle w:val="B10"/>
      </w:pPr>
      <w:r>
        <w:t>-</w:t>
      </w:r>
      <w:r>
        <w:tab/>
        <w:t>SRS transmission</w:t>
      </w:r>
      <w:r>
        <w:rPr>
          <w:lang w:val="en-US"/>
        </w:rPr>
        <w:t>, with aperiodic SRS having higher priority than semi-persistent and/or periodic SRS,</w:t>
      </w:r>
      <w:r>
        <w:t xml:space="preserve"> or </w:t>
      </w:r>
      <w:proofErr w:type="spellStart"/>
      <w:r>
        <w:t>PRACH</w:t>
      </w:r>
      <w:proofErr w:type="spellEnd"/>
      <w:r>
        <w:t xml:space="preserve"> transmission on a serving cell other than the </w:t>
      </w:r>
      <w:proofErr w:type="spellStart"/>
      <w:r>
        <w:t>PCell</w:t>
      </w:r>
      <w:proofErr w:type="spellEnd"/>
      <w:r>
        <w:t xml:space="preserve"> </w:t>
      </w:r>
    </w:p>
    <w:p w:rsidR="00B140D8" w:rsidRDefault="00B140D8" w:rsidP="00B140D8">
      <w:r w:rsidRPr="00D7450A">
        <w:rPr>
          <w:highlight w:val="yellow"/>
        </w:rPr>
        <w:t xml:space="preserve">In case of same priority order and for operation with carrier aggregation, </w:t>
      </w:r>
      <w:r w:rsidRPr="00D7450A">
        <w:rPr>
          <w:highlight w:val="yellow"/>
          <w:lang w:val="en-US"/>
        </w:rPr>
        <w:t xml:space="preserve">the </w:t>
      </w:r>
      <w:proofErr w:type="spellStart"/>
      <w:r w:rsidRPr="00D7450A">
        <w:rPr>
          <w:highlight w:val="yellow"/>
          <w:lang w:val="en-US"/>
        </w:rPr>
        <w:t>UE</w:t>
      </w:r>
      <w:proofErr w:type="spellEnd"/>
      <w:r w:rsidRPr="00D7450A">
        <w:rPr>
          <w:highlight w:val="yellow"/>
          <w:lang w:val="en-US"/>
        </w:rPr>
        <w:t xml:space="preserve"> prioritizes power allocation for </w:t>
      </w:r>
      <w:r w:rsidRPr="00D7450A">
        <w:rPr>
          <w:highlight w:val="yellow"/>
        </w:rPr>
        <w:t>transmission</w:t>
      </w:r>
      <w:r w:rsidRPr="00D7450A">
        <w:rPr>
          <w:highlight w:val="yellow"/>
          <w:lang w:val="en-US"/>
        </w:rPr>
        <w:t>s</w:t>
      </w:r>
      <w:r w:rsidRPr="00D7450A">
        <w:rPr>
          <w:highlight w:val="yellow"/>
        </w:rPr>
        <w:t xml:space="preserve"> on the primary cell of the MCG or the </w:t>
      </w:r>
      <w:proofErr w:type="spellStart"/>
      <w:r w:rsidRPr="00D7450A">
        <w:rPr>
          <w:highlight w:val="yellow"/>
        </w:rPr>
        <w:t>SCG</w:t>
      </w:r>
      <w:proofErr w:type="spellEnd"/>
      <w:r w:rsidRPr="00D7450A">
        <w:rPr>
          <w:highlight w:val="yellow"/>
        </w:rPr>
        <w:t xml:space="preserve"> over transmission</w:t>
      </w:r>
      <w:r w:rsidRPr="00D7450A">
        <w:rPr>
          <w:highlight w:val="yellow"/>
          <w:lang w:val="en-US"/>
        </w:rPr>
        <w:t>s</w:t>
      </w:r>
      <w:r w:rsidRPr="00D7450A">
        <w:rPr>
          <w:highlight w:val="yellow"/>
        </w:rPr>
        <w:t xml:space="preserve"> on a secondary cell.</w:t>
      </w:r>
      <w:r w:rsidRPr="00D7450A">
        <w:rPr>
          <w:highlight w:val="yellow"/>
          <w:lang w:val="en-US"/>
        </w:rPr>
        <w:t xml:space="preserve"> </w:t>
      </w:r>
      <w:r w:rsidRPr="00D7450A">
        <w:rPr>
          <w:highlight w:val="yellow"/>
        </w:rPr>
        <w:t xml:space="preserve">In case of same priority order and for operation with two UL carriers, the </w:t>
      </w:r>
      <w:proofErr w:type="spellStart"/>
      <w:r w:rsidRPr="00D7450A">
        <w:rPr>
          <w:highlight w:val="yellow"/>
          <w:lang w:val="en-US"/>
        </w:rPr>
        <w:t>UE</w:t>
      </w:r>
      <w:proofErr w:type="spellEnd"/>
      <w:r w:rsidRPr="00D7450A">
        <w:rPr>
          <w:highlight w:val="yellow"/>
          <w:lang w:val="en-US"/>
        </w:rPr>
        <w:t xml:space="preserve"> prioritizes power allocation for transmissions on the </w:t>
      </w:r>
      <w:r w:rsidRPr="00D7450A">
        <w:rPr>
          <w:highlight w:val="yellow"/>
        </w:rPr>
        <w:t>carrier</w:t>
      </w:r>
      <w:r w:rsidRPr="00D7450A">
        <w:rPr>
          <w:highlight w:val="yellow"/>
          <w:lang w:val="en-US"/>
        </w:rPr>
        <w:t xml:space="preserve"> where the </w:t>
      </w:r>
      <w:proofErr w:type="spellStart"/>
      <w:r w:rsidRPr="00D7450A">
        <w:rPr>
          <w:highlight w:val="yellow"/>
          <w:lang w:val="en-US"/>
        </w:rPr>
        <w:t>UE</w:t>
      </w:r>
      <w:proofErr w:type="spellEnd"/>
      <w:r w:rsidRPr="00D7450A">
        <w:rPr>
          <w:highlight w:val="yellow"/>
          <w:lang w:val="en-US"/>
        </w:rPr>
        <w:t xml:space="preserve"> is configured to transmit </w:t>
      </w:r>
      <w:proofErr w:type="spellStart"/>
      <w:r w:rsidRPr="00D7450A">
        <w:rPr>
          <w:highlight w:val="yellow"/>
          <w:lang w:val="en-US"/>
        </w:rPr>
        <w:t>PUCCH</w:t>
      </w:r>
      <w:proofErr w:type="spellEnd"/>
      <w:r w:rsidRPr="00D7450A">
        <w:rPr>
          <w:highlight w:val="yellow"/>
          <w:lang w:val="en-US"/>
        </w:rPr>
        <w:t>.</w:t>
      </w:r>
      <w:r>
        <w:rPr>
          <w:lang w:val="en-US"/>
        </w:rPr>
        <w:t xml:space="preserve"> </w:t>
      </w:r>
      <w:r>
        <w:t xml:space="preserve">If </w:t>
      </w:r>
      <w:proofErr w:type="spellStart"/>
      <w:r>
        <w:rPr>
          <w:iCs/>
        </w:rPr>
        <w:t>PUCCH</w:t>
      </w:r>
      <w:proofErr w:type="spellEnd"/>
      <w:r>
        <w:t xml:space="preserve"> is not configured for any of the </w:t>
      </w:r>
      <w:r>
        <w:rPr>
          <w:iCs/>
        </w:rPr>
        <w:t xml:space="preserve">two UL carriers, the </w:t>
      </w:r>
      <w:proofErr w:type="spellStart"/>
      <w:r>
        <w:rPr>
          <w:iCs/>
          <w:lang w:val="en-US"/>
        </w:rPr>
        <w:t>UE</w:t>
      </w:r>
      <w:proofErr w:type="spellEnd"/>
      <w:r>
        <w:rPr>
          <w:iCs/>
          <w:lang w:val="en-US"/>
        </w:rPr>
        <w:t xml:space="preserve"> prioritizes power allocation for transmissions on</w:t>
      </w:r>
      <w:r>
        <w:t xml:space="preserve"> the non-supplementary UL carrier.</w:t>
      </w:r>
    </w:p>
    <w:p w:rsidR="00B140D8" w:rsidRPr="00B140D8" w:rsidRDefault="00D7450A" w:rsidP="00383C18">
      <w:r>
        <w:rPr>
          <w:rFonts w:hint="eastAsia"/>
        </w:rPr>
        <w:t>---------------------------------------------------------------------------------</w:t>
      </w:r>
    </w:p>
    <w:p w:rsidR="006B2A9A" w:rsidRDefault="00AF5973" w:rsidP="00383C18">
      <w:r>
        <w:rPr>
          <w:rFonts w:hint="eastAsia"/>
        </w:rPr>
        <w:t xml:space="preserve">From the above specification, </w:t>
      </w:r>
      <w:r w:rsidR="006B2A9A">
        <w:rPr>
          <w:rFonts w:hint="eastAsia"/>
        </w:rPr>
        <w:t>we have the following observation,</w:t>
      </w:r>
    </w:p>
    <w:p w:rsidR="00D7450A" w:rsidRPr="006B2A9A" w:rsidRDefault="006B2A9A" w:rsidP="00383C18">
      <w:pPr>
        <w:rPr>
          <w:b/>
        </w:rPr>
      </w:pPr>
      <w:r w:rsidRPr="006B2A9A">
        <w:rPr>
          <w:rFonts w:hint="eastAsia"/>
          <w:b/>
        </w:rPr>
        <w:t>Observation 2: T</w:t>
      </w:r>
      <w:r w:rsidR="00AF5973" w:rsidRPr="006B2A9A">
        <w:rPr>
          <w:rFonts w:hint="eastAsia"/>
          <w:b/>
        </w:rPr>
        <w:t xml:space="preserve">he </w:t>
      </w:r>
      <w:r w:rsidRPr="006B2A9A">
        <w:rPr>
          <w:rFonts w:hint="eastAsia"/>
          <w:b/>
        </w:rPr>
        <w:t xml:space="preserve">RAN1 transmission power </w:t>
      </w:r>
      <w:r w:rsidR="00AF5973" w:rsidRPr="006B2A9A">
        <w:rPr>
          <w:rFonts w:hint="eastAsia"/>
          <w:b/>
        </w:rPr>
        <w:t>priority considers both physical channels and cells. It</w:t>
      </w:r>
      <w:r w:rsidR="00AF5973" w:rsidRPr="006B2A9A">
        <w:rPr>
          <w:b/>
        </w:rPr>
        <w:t>’</w:t>
      </w:r>
      <w:r w:rsidR="00AF5973" w:rsidRPr="006B2A9A">
        <w:rPr>
          <w:rFonts w:hint="eastAsia"/>
          <w:b/>
        </w:rPr>
        <w:t xml:space="preserve">s difficult to say which </w:t>
      </w:r>
      <w:r>
        <w:rPr>
          <w:rFonts w:hint="eastAsia"/>
          <w:b/>
        </w:rPr>
        <w:t xml:space="preserve">cell of </w:t>
      </w:r>
      <w:proofErr w:type="spellStart"/>
      <w:r w:rsidR="00AF5973" w:rsidRPr="006B2A9A">
        <w:rPr>
          <w:rFonts w:hint="eastAsia"/>
          <w:b/>
        </w:rPr>
        <w:t>Pcell</w:t>
      </w:r>
      <w:proofErr w:type="spellEnd"/>
      <w:r w:rsidR="00AF5973" w:rsidRPr="006B2A9A">
        <w:rPr>
          <w:rFonts w:hint="eastAsia"/>
          <w:b/>
        </w:rPr>
        <w:t xml:space="preserve"> or </w:t>
      </w:r>
      <w:proofErr w:type="spellStart"/>
      <w:r w:rsidR="00AF5973" w:rsidRPr="006B2A9A">
        <w:rPr>
          <w:rFonts w:hint="eastAsia"/>
          <w:b/>
        </w:rPr>
        <w:t>Scell</w:t>
      </w:r>
      <w:proofErr w:type="spellEnd"/>
      <w:r w:rsidR="00AF5973" w:rsidRPr="006B2A9A">
        <w:rPr>
          <w:rFonts w:hint="eastAsia"/>
          <w:b/>
        </w:rPr>
        <w:t xml:space="preserve"> should be prioritized.</w:t>
      </w:r>
    </w:p>
    <w:p w:rsidR="00900DA1" w:rsidRPr="0087398D" w:rsidRDefault="00930222" w:rsidP="00D7450A">
      <w:pPr>
        <w:pStyle w:val="2ChapterXXStatementh22Header2l2Level2Headhea"/>
        <w:numPr>
          <w:ilvl w:val="1"/>
          <w:numId w:val="4"/>
        </w:numPr>
      </w:pPr>
      <w:r>
        <w:rPr>
          <w:rFonts w:hint="eastAsia"/>
        </w:rPr>
        <w:t>The p</w:t>
      </w:r>
      <w:r w:rsidR="00B140D8">
        <w:rPr>
          <w:rFonts w:hint="eastAsia"/>
        </w:rPr>
        <w:t>roposal for this topic</w:t>
      </w:r>
    </w:p>
    <w:p w:rsidR="00FC71D3" w:rsidRDefault="006B2A9A" w:rsidP="00900DA1">
      <w:pPr>
        <w:rPr>
          <w:sz w:val="20"/>
          <w:szCs w:val="20"/>
          <w:lang w:val="en-US"/>
        </w:rPr>
      </w:pPr>
      <w:r>
        <w:rPr>
          <w:rFonts w:hint="eastAsia"/>
          <w:sz w:val="20"/>
          <w:szCs w:val="20"/>
          <w:lang w:val="en-US"/>
        </w:rPr>
        <w:t>With the backgrounds in 2.1 and 2.</w:t>
      </w:r>
      <w:r w:rsidR="00C81870">
        <w:rPr>
          <w:rFonts w:hint="eastAsia"/>
          <w:sz w:val="20"/>
          <w:szCs w:val="20"/>
          <w:lang w:val="en-US"/>
        </w:rPr>
        <w:t>2</w:t>
      </w:r>
      <w:r>
        <w:rPr>
          <w:rFonts w:hint="eastAsia"/>
          <w:sz w:val="20"/>
          <w:szCs w:val="20"/>
          <w:lang w:val="en-US"/>
        </w:rPr>
        <w:t xml:space="preserve">, the solutions for intra-band contiguous </w:t>
      </w:r>
      <w:proofErr w:type="spellStart"/>
      <w:r>
        <w:rPr>
          <w:rFonts w:hint="eastAsia"/>
          <w:sz w:val="20"/>
          <w:szCs w:val="20"/>
          <w:lang w:val="en-US"/>
        </w:rPr>
        <w:t>HPUE</w:t>
      </w:r>
      <w:proofErr w:type="spellEnd"/>
      <w:r>
        <w:rPr>
          <w:rFonts w:hint="eastAsia"/>
          <w:sz w:val="20"/>
          <w:szCs w:val="20"/>
          <w:lang w:val="en-US"/>
        </w:rPr>
        <w:t xml:space="preserve"> can be studied. For the SAR solutions, as duty cycle based solution has been </w:t>
      </w:r>
      <w:r>
        <w:rPr>
          <w:sz w:val="20"/>
          <w:szCs w:val="20"/>
          <w:lang w:val="en-US"/>
        </w:rPr>
        <w:t>used</w:t>
      </w:r>
      <w:r>
        <w:rPr>
          <w:rFonts w:hint="eastAsia"/>
          <w:sz w:val="20"/>
          <w:szCs w:val="20"/>
          <w:lang w:val="en-US"/>
        </w:rPr>
        <w:t xml:space="preserve"> for many scenarios and it</w:t>
      </w:r>
      <w:r>
        <w:rPr>
          <w:sz w:val="20"/>
          <w:szCs w:val="20"/>
          <w:lang w:val="en-US"/>
        </w:rPr>
        <w:t>’</w:t>
      </w:r>
      <w:r>
        <w:rPr>
          <w:rFonts w:hint="eastAsia"/>
          <w:sz w:val="20"/>
          <w:szCs w:val="20"/>
          <w:lang w:val="en-US"/>
        </w:rPr>
        <w:t xml:space="preserve">s also under the candidates of the inter-band 2UL CA </w:t>
      </w:r>
      <w:proofErr w:type="spellStart"/>
      <w:r>
        <w:rPr>
          <w:rFonts w:hint="eastAsia"/>
          <w:sz w:val="20"/>
          <w:szCs w:val="20"/>
          <w:lang w:val="en-US"/>
        </w:rPr>
        <w:t>HPUE</w:t>
      </w:r>
      <w:proofErr w:type="spellEnd"/>
      <w:r>
        <w:rPr>
          <w:rFonts w:hint="eastAsia"/>
          <w:sz w:val="20"/>
          <w:szCs w:val="20"/>
          <w:lang w:val="en-US"/>
        </w:rPr>
        <w:t xml:space="preserve"> solution, we think it</w:t>
      </w:r>
      <w:r>
        <w:rPr>
          <w:sz w:val="20"/>
          <w:szCs w:val="20"/>
          <w:lang w:val="en-US"/>
        </w:rPr>
        <w:t>’</w:t>
      </w:r>
      <w:r>
        <w:rPr>
          <w:rFonts w:hint="eastAsia"/>
          <w:sz w:val="20"/>
          <w:szCs w:val="20"/>
          <w:lang w:val="en-US"/>
        </w:rPr>
        <w:t xml:space="preserve">ll be good to use a similar solution </w:t>
      </w:r>
      <w:r>
        <w:rPr>
          <w:sz w:val="20"/>
          <w:szCs w:val="20"/>
          <w:lang w:val="en-US"/>
        </w:rPr>
        <w:t xml:space="preserve">in </w:t>
      </w:r>
      <w:proofErr w:type="spellStart"/>
      <w:r w:rsidR="003942C0">
        <w:rPr>
          <w:rFonts w:hint="eastAsia"/>
          <w:sz w:val="20"/>
          <w:szCs w:val="20"/>
          <w:lang w:val="en-US"/>
        </w:rPr>
        <w:t>TDD</w:t>
      </w:r>
      <w:proofErr w:type="spellEnd"/>
      <w:r w:rsidR="003942C0">
        <w:rPr>
          <w:rFonts w:hint="eastAsia"/>
          <w:sz w:val="20"/>
          <w:szCs w:val="20"/>
          <w:lang w:val="en-US"/>
        </w:rPr>
        <w:t xml:space="preserve"> </w:t>
      </w:r>
      <w:r>
        <w:rPr>
          <w:rFonts w:hint="eastAsia"/>
          <w:sz w:val="20"/>
          <w:szCs w:val="20"/>
          <w:lang w:val="en-US"/>
        </w:rPr>
        <w:t>intra-band contiguous UL CA.</w:t>
      </w:r>
    </w:p>
    <w:p w:rsidR="006B2A9A" w:rsidRPr="003942C0" w:rsidRDefault="006B2A9A" w:rsidP="00900DA1">
      <w:pPr>
        <w:rPr>
          <w:b/>
          <w:sz w:val="20"/>
          <w:szCs w:val="20"/>
          <w:lang w:val="en-US"/>
        </w:rPr>
      </w:pPr>
      <w:r w:rsidRPr="003942C0">
        <w:rPr>
          <w:rFonts w:hint="eastAsia"/>
          <w:b/>
          <w:sz w:val="20"/>
          <w:szCs w:val="20"/>
          <w:lang w:val="en-US"/>
        </w:rPr>
        <w:t xml:space="preserve">Proposal 1: Duty cycle based SAR solution is used by </w:t>
      </w:r>
      <w:proofErr w:type="spellStart"/>
      <w:r w:rsidR="003942C0" w:rsidRPr="003942C0">
        <w:rPr>
          <w:rFonts w:hint="eastAsia"/>
          <w:b/>
          <w:sz w:val="20"/>
          <w:szCs w:val="20"/>
          <w:lang w:val="en-US"/>
        </w:rPr>
        <w:t>TDD</w:t>
      </w:r>
      <w:proofErr w:type="spellEnd"/>
      <w:r w:rsidR="003942C0" w:rsidRPr="003942C0">
        <w:rPr>
          <w:rFonts w:hint="eastAsia"/>
          <w:b/>
          <w:sz w:val="20"/>
          <w:szCs w:val="20"/>
          <w:lang w:val="en-US"/>
        </w:rPr>
        <w:t xml:space="preserve"> </w:t>
      </w:r>
      <w:r w:rsidRPr="003942C0">
        <w:rPr>
          <w:rFonts w:hint="eastAsia"/>
          <w:b/>
          <w:sz w:val="20"/>
          <w:szCs w:val="20"/>
          <w:lang w:val="en-US"/>
        </w:rPr>
        <w:t>intra-band contiguous UL CA.</w:t>
      </w:r>
    </w:p>
    <w:p w:rsidR="006B2A9A" w:rsidRDefault="00C858D8" w:rsidP="00900DA1">
      <w:pPr>
        <w:rPr>
          <w:sz w:val="20"/>
          <w:szCs w:val="20"/>
          <w:lang w:val="en-US"/>
        </w:rPr>
      </w:pPr>
      <w:r>
        <w:rPr>
          <w:rFonts w:hint="eastAsia"/>
          <w:sz w:val="20"/>
          <w:szCs w:val="20"/>
          <w:lang w:val="en-US"/>
        </w:rPr>
        <w:t xml:space="preserve">As </w:t>
      </w:r>
      <w:r w:rsidR="003942C0">
        <w:rPr>
          <w:rFonts w:hint="eastAsia"/>
          <w:sz w:val="20"/>
          <w:szCs w:val="20"/>
          <w:lang w:val="en-US"/>
        </w:rPr>
        <w:t xml:space="preserve">this study is limited to </w:t>
      </w:r>
      <w:proofErr w:type="spellStart"/>
      <w:r w:rsidR="003942C0">
        <w:rPr>
          <w:rFonts w:hint="eastAsia"/>
          <w:sz w:val="20"/>
          <w:szCs w:val="20"/>
          <w:lang w:val="en-US"/>
        </w:rPr>
        <w:t>TDD</w:t>
      </w:r>
      <w:proofErr w:type="spellEnd"/>
      <w:r w:rsidR="003942C0">
        <w:rPr>
          <w:rFonts w:hint="eastAsia"/>
          <w:sz w:val="20"/>
          <w:szCs w:val="20"/>
          <w:lang w:val="en-US"/>
        </w:rPr>
        <w:t xml:space="preserve"> intra-band contiguous UL CA, it</w:t>
      </w:r>
      <w:r w:rsidR="003942C0">
        <w:rPr>
          <w:sz w:val="20"/>
          <w:szCs w:val="20"/>
          <w:lang w:val="en-US"/>
        </w:rPr>
        <w:t>’</w:t>
      </w:r>
      <w:r w:rsidR="003942C0">
        <w:rPr>
          <w:rFonts w:hint="eastAsia"/>
          <w:sz w:val="20"/>
          <w:szCs w:val="20"/>
          <w:lang w:val="en-US"/>
        </w:rPr>
        <w:t xml:space="preserve">s reasonable to think the SAR impacts of the two UL </w:t>
      </w:r>
      <w:r w:rsidR="003942C0">
        <w:rPr>
          <w:sz w:val="20"/>
          <w:szCs w:val="20"/>
          <w:lang w:val="en-US"/>
        </w:rPr>
        <w:t>carriers</w:t>
      </w:r>
      <w:r w:rsidR="003942C0">
        <w:rPr>
          <w:rFonts w:hint="eastAsia"/>
          <w:sz w:val="20"/>
          <w:szCs w:val="20"/>
          <w:lang w:val="en-US"/>
        </w:rPr>
        <w:t xml:space="preserve"> is same or very </w:t>
      </w:r>
      <w:r w:rsidR="003942C0">
        <w:rPr>
          <w:sz w:val="20"/>
          <w:szCs w:val="20"/>
          <w:lang w:val="en-US"/>
        </w:rPr>
        <w:t>similar</w:t>
      </w:r>
      <w:r w:rsidR="003942C0">
        <w:rPr>
          <w:rFonts w:hint="eastAsia"/>
          <w:sz w:val="20"/>
          <w:szCs w:val="20"/>
          <w:lang w:val="en-US"/>
        </w:rPr>
        <w:t xml:space="preserve">. </w:t>
      </w:r>
      <w:r w:rsidR="00B4141E">
        <w:rPr>
          <w:rFonts w:hint="eastAsia"/>
          <w:sz w:val="20"/>
          <w:szCs w:val="20"/>
          <w:lang w:val="en-US"/>
        </w:rPr>
        <w:t>So t</w:t>
      </w:r>
      <w:r w:rsidR="003942C0">
        <w:rPr>
          <w:rFonts w:hint="eastAsia"/>
          <w:sz w:val="20"/>
          <w:szCs w:val="20"/>
          <w:lang w:val="en-US"/>
        </w:rPr>
        <w:t xml:space="preserve">here may not </w:t>
      </w:r>
      <w:r w:rsidR="00B4141E">
        <w:rPr>
          <w:rFonts w:hint="eastAsia"/>
          <w:sz w:val="20"/>
          <w:szCs w:val="20"/>
          <w:lang w:val="en-US"/>
        </w:rPr>
        <w:t xml:space="preserve">be </w:t>
      </w:r>
      <w:r w:rsidR="003942C0">
        <w:rPr>
          <w:sz w:val="20"/>
          <w:szCs w:val="20"/>
          <w:lang w:val="en-US"/>
        </w:rPr>
        <w:t>necessary</w:t>
      </w:r>
      <w:r w:rsidR="003942C0">
        <w:rPr>
          <w:rFonts w:hint="eastAsia"/>
          <w:sz w:val="20"/>
          <w:szCs w:val="20"/>
          <w:lang w:val="en-US"/>
        </w:rPr>
        <w:t xml:space="preserve"> to consider the different SAR impact which was one of the reasons to not choosing the reporting total duty cycle capability in EN-DC SAR solution. From the deployment aspect, intra-band CA is based on the co-located scenario assumption, the difference of </w:t>
      </w:r>
      <w:proofErr w:type="spellStart"/>
      <w:r w:rsidR="003942C0">
        <w:rPr>
          <w:rFonts w:hint="eastAsia"/>
          <w:sz w:val="20"/>
          <w:szCs w:val="20"/>
          <w:lang w:val="en-US"/>
        </w:rPr>
        <w:t>PSD</w:t>
      </w:r>
      <w:proofErr w:type="spellEnd"/>
      <w:r w:rsidR="003942C0">
        <w:rPr>
          <w:rFonts w:hint="eastAsia"/>
          <w:sz w:val="20"/>
          <w:szCs w:val="20"/>
          <w:lang w:val="en-US"/>
        </w:rPr>
        <w:t xml:space="preserve"> of the two carriers is limited to 6 </w:t>
      </w:r>
      <w:proofErr w:type="spellStart"/>
      <w:r w:rsidR="003942C0">
        <w:rPr>
          <w:rFonts w:hint="eastAsia"/>
          <w:sz w:val="20"/>
          <w:szCs w:val="20"/>
          <w:lang w:val="en-US"/>
        </w:rPr>
        <w:t>dB.</w:t>
      </w:r>
      <w:proofErr w:type="spellEnd"/>
      <w:r w:rsidR="003942C0">
        <w:rPr>
          <w:rFonts w:hint="eastAsia"/>
          <w:sz w:val="20"/>
          <w:szCs w:val="20"/>
          <w:lang w:val="en-US"/>
        </w:rPr>
        <w:t xml:space="preserve"> </w:t>
      </w:r>
      <w:r w:rsidR="00B4141E">
        <w:rPr>
          <w:rFonts w:hint="eastAsia"/>
          <w:sz w:val="20"/>
          <w:szCs w:val="20"/>
          <w:lang w:val="en-US"/>
        </w:rPr>
        <w:t xml:space="preserve">From RAN1 aspect, </w:t>
      </w:r>
      <w:proofErr w:type="spellStart"/>
      <w:r w:rsidR="003942C0">
        <w:rPr>
          <w:rFonts w:hint="eastAsia"/>
          <w:sz w:val="20"/>
          <w:szCs w:val="20"/>
          <w:lang w:val="en-US"/>
        </w:rPr>
        <w:t>PCC</w:t>
      </w:r>
      <w:proofErr w:type="spellEnd"/>
      <w:r w:rsidR="003942C0">
        <w:rPr>
          <w:rFonts w:hint="eastAsia"/>
          <w:sz w:val="20"/>
          <w:szCs w:val="20"/>
          <w:lang w:val="en-US"/>
        </w:rPr>
        <w:t xml:space="preserve"> and </w:t>
      </w:r>
      <w:proofErr w:type="spellStart"/>
      <w:r w:rsidR="003942C0">
        <w:rPr>
          <w:rFonts w:hint="eastAsia"/>
          <w:sz w:val="20"/>
          <w:szCs w:val="20"/>
          <w:lang w:val="en-US"/>
        </w:rPr>
        <w:t>SCC</w:t>
      </w:r>
      <w:proofErr w:type="spellEnd"/>
      <w:r w:rsidR="003942C0">
        <w:rPr>
          <w:rFonts w:hint="eastAsia"/>
          <w:sz w:val="20"/>
          <w:szCs w:val="20"/>
          <w:lang w:val="en-US"/>
        </w:rPr>
        <w:t xml:space="preserve"> configuration is </w:t>
      </w:r>
      <w:proofErr w:type="spellStart"/>
      <w:r w:rsidR="003942C0">
        <w:rPr>
          <w:rFonts w:hint="eastAsia"/>
          <w:sz w:val="20"/>
          <w:szCs w:val="20"/>
          <w:lang w:val="en-US"/>
        </w:rPr>
        <w:t>UE</w:t>
      </w:r>
      <w:proofErr w:type="spellEnd"/>
      <w:r w:rsidR="003942C0">
        <w:rPr>
          <w:rFonts w:hint="eastAsia"/>
          <w:sz w:val="20"/>
          <w:szCs w:val="20"/>
          <w:lang w:val="en-US"/>
        </w:rPr>
        <w:t xml:space="preserve"> specific</w:t>
      </w:r>
      <w:r w:rsidR="00B4141E">
        <w:rPr>
          <w:rFonts w:hint="eastAsia"/>
          <w:sz w:val="20"/>
          <w:szCs w:val="20"/>
          <w:lang w:val="en-US"/>
        </w:rPr>
        <w:t>.</w:t>
      </w:r>
      <w:r w:rsidR="003942C0">
        <w:rPr>
          <w:rFonts w:hint="eastAsia"/>
          <w:sz w:val="20"/>
          <w:szCs w:val="20"/>
          <w:lang w:val="en-US"/>
        </w:rPr>
        <w:t xml:space="preserve"> </w:t>
      </w:r>
      <w:r w:rsidR="00B4141E">
        <w:rPr>
          <w:rFonts w:hint="eastAsia"/>
          <w:sz w:val="20"/>
          <w:szCs w:val="20"/>
          <w:lang w:val="en-US"/>
        </w:rPr>
        <w:t>A</w:t>
      </w:r>
      <w:r w:rsidR="003942C0">
        <w:rPr>
          <w:rFonts w:hint="eastAsia"/>
          <w:sz w:val="20"/>
          <w:szCs w:val="20"/>
          <w:lang w:val="en-US"/>
        </w:rPr>
        <w:t xml:space="preserve">nd according to the priority in 2.2, </w:t>
      </w:r>
      <w:proofErr w:type="spellStart"/>
      <w:r w:rsidR="003942C0">
        <w:rPr>
          <w:rFonts w:hint="eastAsia"/>
          <w:sz w:val="20"/>
          <w:szCs w:val="20"/>
          <w:lang w:val="en-US"/>
        </w:rPr>
        <w:t>SCC</w:t>
      </w:r>
      <w:proofErr w:type="spellEnd"/>
      <w:r w:rsidR="003942C0">
        <w:rPr>
          <w:rFonts w:hint="eastAsia"/>
          <w:sz w:val="20"/>
          <w:szCs w:val="20"/>
          <w:lang w:val="en-US"/>
        </w:rPr>
        <w:t xml:space="preserve"> can also be prioritized when the physical channel </w:t>
      </w:r>
      <w:r w:rsidR="003942C0">
        <w:rPr>
          <w:sz w:val="20"/>
          <w:szCs w:val="20"/>
          <w:lang w:val="en-US"/>
        </w:rPr>
        <w:t>transmitted</w:t>
      </w:r>
      <w:r w:rsidR="003942C0">
        <w:rPr>
          <w:rFonts w:hint="eastAsia"/>
          <w:sz w:val="20"/>
          <w:szCs w:val="20"/>
          <w:lang w:val="en-US"/>
        </w:rPr>
        <w:t xml:space="preserve"> on </w:t>
      </w:r>
      <w:proofErr w:type="spellStart"/>
      <w:r w:rsidR="003942C0">
        <w:rPr>
          <w:rFonts w:hint="eastAsia"/>
          <w:sz w:val="20"/>
          <w:szCs w:val="20"/>
          <w:lang w:val="en-US"/>
        </w:rPr>
        <w:t>SCC</w:t>
      </w:r>
      <w:proofErr w:type="spellEnd"/>
      <w:r w:rsidR="003942C0">
        <w:rPr>
          <w:rFonts w:hint="eastAsia"/>
          <w:sz w:val="20"/>
          <w:szCs w:val="20"/>
          <w:lang w:val="en-US"/>
        </w:rPr>
        <w:t xml:space="preserve"> is in high priority. Therefore, we think it may not be </w:t>
      </w:r>
      <w:r w:rsidR="003942C0">
        <w:rPr>
          <w:sz w:val="20"/>
          <w:szCs w:val="20"/>
          <w:lang w:val="en-US"/>
        </w:rPr>
        <w:t>necessary</w:t>
      </w:r>
      <w:r w:rsidR="003942C0">
        <w:rPr>
          <w:rFonts w:hint="eastAsia"/>
          <w:sz w:val="20"/>
          <w:szCs w:val="20"/>
          <w:lang w:val="en-US"/>
        </w:rPr>
        <w:t xml:space="preserve"> to </w:t>
      </w:r>
      <w:r w:rsidR="003942C0">
        <w:rPr>
          <w:sz w:val="20"/>
          <w:szCs w:val="20"/>
          <w:lang w:val="en-US"/>
        </w:rPr>
        <w:t>distinguish</w:t>
      </w:r>
      <w:r w:rsidR="003942C0">
        <w:rPr>
          <w:rFonts w:hint="eastAsia"/>
          <w:sz w:val="20"/>
          <w:szCs w:val="20"/>
          <w:lang w:val="en-US"/>
        </w:rPr>
        <w:t xml:space="preserve"> the two UL carriers when considering the SAR solutions for </w:t>
      </w:r>
      <w:proofErr w:type="spellStart"/>
      <w:r w:rsidR="003942C0" w:rsidRPr="003942C0">
        <w:rPr>
          <w:rFonts w:hint="eastAsia"/>
          <w:sz w:val="20"/>
          <w:szCs w:val="20"/>
          <w:lang w:val="en-US"/>
        </w:rPr>
        <w:t>TDD</w:t>
      </w:r>
      <w:proofErr w:type="spellEnd"/>
      <w:r w:rsidR="003942C0" w:rsidRPr="003942C0">
        <w:rPr>
          <w:rFonts w:hint="eastAsia"/>
          <w:sz w:val="20"/>
          <w:szCs w:val="20"/>
          <w:lang w:val="en-US"/>
        </w:rPr>
        <w:t xml:space="preserve"> intra-band contiguous UL CA.</w:t>
      </w:r>
      <w:r w:rsidR="003942C0">
        <w:rPr>
          <w:rFonts w:hint="eastAsia"/>
          <w:sz w:val="20"/>
          <w:szCs w:val="20"/>
          <w:lang w:val="en-US"/>
        </w:rPr>
        <w:t xml:space="preserve"> Then we have the following proposal.</w:t>
      </w:r>
    </w:p>
    <w:p w:rsidR="00C858D8" w:rsidRPr="003942C0" w:rsidRDefault="003942C0" w:rsidP="00900DA1">
      <w:pPr>
        <w:rPr>
          <w:b/>
          <w:sz w:val="20"/>
          <w:szCs w:val="20"/>
          <w:lang w:val="en-US"/>
        </w:rPr>
      </w:pPr>
      <w:r w:rsidRPr="003942C0">
        <w:rPr>
          <w:rFonts w:hint="eastAsia"/>
          <w:b/>
          <w:sz w:val="20"/>
          <w:szCs w:val="20"/>
          <w:lang w:val="en-US"/>
        </w:rPr>
        <w:t xml:space="preserve">Proposal 2: </w:t>
      </w:r>
      <w:r w:rsidR="00C858D8" w:rsidRPr="003942C0">
        <w:rPr>
          <w:rFonts w:hint="eastAsia"/>
          <w:b/>
          <w:sz w:val="20"/>
          <w:szCs w:val="20"/>
          <w:lang w:val="en-US"/>
        </w:rPr>
        <w:t xml:space="preserve">Total duty cycle capability </w:t>
      </w:r>
      <w:r>
        <w:rPr>
          <w:rFonts w:hint="eastAsia"/>
          <w:b/>
          <w:sz w:val="20"/>
          <w:szCs w:val="20"/>
          <w:lang w:val="en-US"/>
        </w:rPr>
        <w:t xml:space="preserve">for the two UL carriers </w:t>
      </w:r>
      <w:r w:rsidR="00C858D8" w:rsidRPr="003942C0">
        <w:rPr>
          <w:rFonts w:hint="eastAsia"/>
          <w:b/>
          <w:sz w:val="20"/>
          <w:szCs w:val="20"/>
          <w:lang w:val="en-US"/>
        </w:rPr>
        <w:t>can be reported to the network.</w:t>
      </w:r>
    </w:p>
    <w:p w:rsidR="003942C0" w:rsidRDefault="003942C0" w:rsidP="00900DA1">
      <w:pPr>
        <w:rPr>
          <w:sz w:val="20"/>
          <w:szCs w:val="20"/>
          <w:lang w:val="en-US"/>
        </w:rPr>
      </w:pPr>
      <w:r>
        <w:rPr>
          <w:rFonts w:hint="eastAsia"/>
          <w:sz w:val="20"/>
          <w:szCs w:val="20"/>
          <w:lang w:val="en-US"/>
        </w:rPr>
        <w:t xml:space="preserve">From the above study and proposals, the </w:t>
      </w:r>
      <w:proofErr w:type="spellStart"/>
      <w:r>
        <w:rPr>
          <w:rFonts w:hint="eastAsia"/>
          <w:sz w:val="20"/>
          <w:szCs w:val="20"/>
          <w:lang w:val="en-US"/>
        </w:rPr>
        <w:t>TDD</w:t>
      </w:r>
      <w:proofErr w:type="spellEnd"/>
      <w:r>
        <w:rPr>
          <w:rFonts w:hint="eastAsia"/>
          <w:sz w:val="20"/>
          <w:szCs w:val="20"/>
          <w:lang w:val="en-US"/>
        </w:rPr>
        <w:t xml:space="preserve"> intra-band </w:t>
      </w:r>
      <w:r>
        <w:rPr>
          <w:sz w:val="20"/>
          <w:szCs w:val="20"/>
          <w:lang w:val="en-US"/>
        </w:rPr>
        <w:t>contiguous</w:t>
      </w:r>
      <w:r>
        <w:rPr>
          <w:rFonts w:hint="eastAsia"/>
          <w:sz w:val="20"/>
          <w:szCs w:val="20"/>
          <w:lang w:val="en-US"/>
        </w:rPr>
        <w:t xml:space="preserve"> UL CA </w:t>
      </w:r>
      <w:proofErr w:type="spellStart"/>
      <w:r>
        <w:rPr>
          <w:rFonts w:hint="eastAsia"/>
          <w:sz w:val="20"/>
          <w:szCs w:val="20"/>
          <w:lang w:val="en-US"/>
        </w:rPr>
        <w:t>HPUE</w:t>
      </w:r>
      <w:proofErr w:type="spellEnd"/>
      <w:r>
        <w:rPr>
          <w:rFonts w:hint="eastAsia"/>
          <w:sz w:val="20"/>
          <w:szCs w:val="20"/>
          <w:lang w:val="en-US"/>
        </w:rPr>
        <w:t xml:space="preserve"> SAR solutions can be defined very similar with </w:t>
      </w:r>
      <w:proofErr w:type="spellStart"/>
      <w:r>
        <w:rPr>
          <w:rFonts w:hint="eastAsia"/>
          <w:sz w:val="20"/>
          <w:szCs w:val="20"/>
          <w:lang w:val="en-US"/>
        </w:rPr>
        <w:t>TDD</w:t>
      </w:r>
      <w:proofErr w:type="spellEnd"/>
      <w:r>
        <w:rPr>
          <w:rFonts w:hint="eastAsia"/>
          <w:sz w:val="20"/>
          <w:szCs w:val="20"/>
          <w:lang w:val="en-US"/>
        </w:rPr>
        <w:t xml:space="preserve"> single carrier </w:t>
      </w:r>
      <w:proofErr w:type="spellStart"/>
      <w:r>
        <w:rPr>
          <w:rFonts w:hint="eastAsia"/>
          <w:sz w:val="20"/>
          <w:szCs w:val="20"/>
          <w:lang w:val="en-US"/>
        </w:rPr>
        <w:t>HPUE</w:t>
      </w:r>
      <w:proofErr w:type="spellEnd"/>
      <w:r w:rsidR="00B4141E">
        <w:rPr>
          <w:rFonts w:hint="eastAsia"/>
          <w:sz w:val="20"/>
          <w:szCs w:val="20"/>
          <w:lang w:val="en-US"/>
        </w:rPr>
        <w:t>.</w:t>
      </w:r>
      <w:r>
        <w:rPr>
          <w:rFonts w:hint="eastAsia"/>
          <w:sz w:val="20"/>
          <w:szCs w:val="20"/>
          <w:lang w:val="en-US"/>
        </w:rPr>
        <w:t xml:space="preserve"> </w:t>
      </w:r>
      <w:r w:rsidR="00B4141E">
        <w:rPr>
          <w:rFonts w:hint="eastAsia"/>
          <w:sz w:val="20"/>
          <w:szCs w:val="20"/>
          <w:lang w:val="en-US"/>
        </w:rPr>
        <w:t>W</w:t>
      </w:r>
      <w:r>
        <w:rPr>
          <w:rFonts w:hint="eastAsia"/>
          <w:sz w:val="20"/>
          <w:szCs w:val="20"/>
          <w:lang w:val="en-US"/>
        </w:rPr>
        <w:t>e think the default duty cycle and the reported capability also can refer single carrier capability.</w:t>
      </w:r>
    </w:p>
    <w:p w:rsidR="003942C0" w:rsidRDefault="003942C0" w:rsidP="00900DA1">
      <w:pPr>
        <w:rPr>
          <w:b/>
        </w:rPr>
      </w:pPr>
      <w:r w:rsidRPr="003942C0">
        <w:rPr>
          <w:rFonts w:hint="eastAsia"/>
          <w:b/>
          <w:sz w:val="20"/>
          <w:szCs w:val="20"/>
          <w:lang w:val="en-US"/>
        </w:rPr>
        <w:t xml:space="preserve">Proposal 3: </w:t>
      </w:r>
      <w:proofErr w:type="spellStart"/>
      <w:r w:rsidRPr="003942C0">
        <w:rPr>
          <w:rFonts w:hint="eastAsia"/>
          <w:b/>
          <w:sz w:val="20"/>
          <w:szCs w:val="20"/>
          <w:lang w:val="en-US"/>
        </w:rPr>
        <w:t>TDD</w:t>
      </w:r>
      <w:proofErr w:type="spellEnd"/>
      <w:r w:rsidRPr="003942C0">
        <w:rPr>
          <w:rFonts w:hint="eastAsia"/>
          <w:b/>
          <w:sz w:val="20"/>
          <w:szCs w:val="20"/>
          <w:lang w:val="en-US"/>
        </w:rPr>
        <w:t xml:space="preserve"> intra-band </w:t>
      </w:r>
      <w:r w:rsidRPr="003942C0">
        <w:rPr>
          <w:b/>
          <w:sz w:val="20"/>
          <w:szCs w:val="20"/>
          <w:lang w:val="en-US"/>
        </w:rPr>
        <w:t>contiguous</w:t>
      </w:r>
      <w:r w:rsidRPr="003942C0">
        <w:rPr>
          <w:rFonts w:hint="eastAsia"/>
          <w:b/>
          <w:sz w:val="20"/>
          <w:szCs w:val="20"/>
          <w:lang w:val="en-US"/>
        </w:rPr>
        <w:t xml:space="preserve"> UL CA total duty cycle capability can </w:t>
      </w:r>
      <w:r w:rsidR="00B4141E">
        <w:rPr>
          <w:rFonts w:hint="eastAsia"/>
          <w:b/>
          <w:sz w:val="20"/>
          <w:szCs w:val="20"/>
          <w:lang w:val="en-US"/>
        </w:rPr>
        <w:t xml:space="preserve">be defined </w:t>
      </w:r>
      <w:r w:rsidR="001C0B7E" w:rsidRPr="003942C0">
        <w:rPr>
          <w:b/>
          <w:sz w:val="20"/>
          <w:szCs w:val="20"/>
          <w:lang w:val="en-US"/>
        </w:rPr>
        <w:t>refer</w:t>
      </w:r>
      <w:r w:rsidR="001C0B7E">
        <w:rPr>
          <w:b/>
          <w:sz w:val="20"/>
          <w:szCs w:val="20"/>
          <w:lang w:val="en-US"/>
        </w:rPr>
        <w:t>ring</w:t>
      </w:r>
      <w:r w:rsidRPr="003942C0">
        <w:rPr>
          <w:rFonts w:hint="eastAsia"/>
          <w:b/>
          <w:sz w:val="20"/>
          <w:szCs w:val="20"/>
          <w:lang w:val="en-US"/>
        </w:rPr>
        <w:t xml:space="preserve"> </w:t>
      </w:r>
      <w:proofErr w:type="spellStart"/>
      <w:r w:rsidRPr="003942C0">
        <w:rPr>
          <w:rFonts w:hint="eastAsia"/>
          <w:b/>
          <w:sz w:val="20"/>
          <w:szCs w:val="20"/>
          <w:lang w:val="en-US"/>
        </w:rPr>
        <w:t>TDD</w:t>
      </w:r>
      <w:proofErr w:type="spellEnd"/>
      <w:r w:rsidRPr="003942C0">
        <w:rPr>
          <w:rFonts w:hint="eastAsia"/>
          <w:b/>
          <w:sz w:val="20"/>
          <w:szCs w:val="20"/>
          <w:lang w:val="en-US"/>
        </w:rPr>
        <w:t xml:space="preserve"> single carrier </w:t>
      </w:r>
      <w:proofErr w:type="spellStart"/>
      <w:r w:rsidRPr="003942C0">
        <w:rPr>
          <w:rFonts w:hint="eastAsia"/>
          <w:b/>
          <w:sz w:val="20"/>
          <w:szCs w:val="20"/>
          <w:lang w:val="en-US"/>
        </w:rPr>
        <w:t>HPUE</w:t>
      </w:r>
      <w:proofErr w:type="spellEnd"/>
      <w:r w:rsidRPr="003942C0">
        <w:rPr>
          <w:rFonts w:hint="eastAsia"/>
          <w:b/>
          <w:sz w:val="20"/>
          <w:szCs w:val="20"/>
          <w:lang w:val="en-US"/>
        </w:rPr>
        <w:t xml:space="preserve">  duty cycle capability, i.e. </w:t>
      </w:r>
      <w:r w:rsidR="00C858D8" w:rsidRPr="003942C0">
        <w:rPr>
          <w:rFonts w:hint="eastAsia"/>
          <w:b/>
          <w:sz w:val="20"/>
          <w:szCs w:val="20"/>
          <w:lang w:val="en-US"/>
        </w:rPr>
        <w:t xml:space="preserve">50% </w:t>
      </w:r>
      <w:r w:rsidRPr="003942C0">
        <w:rPr>
          <w:rFonts w:hint="eastAsia"/>
          <w:b/>
          <w:sz w:val="20"/>
          <w:szCs w:val="20"/>
          <w:lang w:val="en-US"/>
        </w:rPr>
        <w:t xml:space="preserve">is the </w:t>
      </w:r>
      <w:r w:rsidRPr="003942C0">
        <w:rPr>
          <w:b/>
          <w:sz w:val="20"/>
          <w:szCs w:val="20"/>
          <w:lang w:val="en-US"/>
        </w:rPr>
        <w:t>default</w:t>
      </w:r>
      <w:r w:rsidRPr="003942C0">
        <w:rPr>
          <w:rFonts w:hint="eastAsia"/>
          <w:b/>
          <w:sz w:val="20"/>
          <w:szCs w:val="20"/>
          <w:lang w:val="en-US"/>
        </w:rPr>
        <w:t xml:space="preserve"> total duty cycle capability and the reported IE can be defined as </w:t>
      </w:r>
      <w:r w:rsidRPr="00C81870">
        <w:rPr>
          <w:b/>
        </w:rPr>
        <w:t>ENUMERATED</w:t>
      </w:r>
      <w:r w:rsidRPr="003942C0">
        <w:rPr>
          <w:b/>
        </w:rPr>
        <w:t xml:space="preserve"> {n60, n70, n80, n90, n100}</w:t>
      </w:r>
      <w:r w:rsidRPr="003942C0">
        <w:rPr>
          <w:rFonts w:hint="eastAsia"/>
          <w:b/>
        </w:rPr>
        <w:t>.</w:t>
      </w:r>
    </w:p>
    <w:p w:rsidR="001C0B7E" w:rsidRDefault="001C0B7E" w:rsidP="00900DA1">
      <w:pPr>
        <w:rPr>
          <w:sz w:val="20"/>
          <w:szCs w:val="20"/>
          <w:lang w:val="en-US"/>
        </w:rPr>
      </w:pPr>
      <w:r w:rsidRPr="001C0B7E">
        <w:rPr>
          <w:rFonts w:hint="eastAsia"/>
          <w:sz w:val="20"/>
          <w:szCs w:val="20"/>
          <w:lang w:val="en-US"/>
        </w:rPr>
        <w:t>There</w:t>
      </w:r>
      <w:r>
        <w:rPr>
          <w:sz w:val="20"/>
          <w:szCs w:val="20"/>
          <w:lang w:val="en-US"/>
        </w:rPr>
        <w:t>’</w:t>
      </w:r>
      <w:r>
        <w:rPr>
          <w:rFonts w:hint="eastAsia"/>
          <w:sz w:val="20"/>
          <w:szCs w:val="20"/>
          <w:lang w:val="en-US"/>
        </w:rPr>
        <w:t>s one last issue</w:t>
      </w:r>
      <w:r w:rsidR="00C81870">
        <w:rPr>
          <w:rFonts w:hint="eastAsia"/>
          <w:sz w:val="20"/>
          <w:szCs w:val="20"/>
          <w:lang w:val="en-US"/>
        </w:rPr>
        <w:t xml:space="preserve"> which</w:t>
      </w:r>
      <w:r>
        <w:rPr>
          <w:rFonts w:hint="eastAsia"/>
          <w:sz w:val="20"/>
          <w:szCs w:val="20"/>
          <w:lang w:val="en-US"/>
        </w:rPr>
        <w:t xml:space="preserve"> should be defined that </w:t>
      </w:r>
      <w:proofErr w:type="gramStart"/>
      <w:r>
        <w:rPr>
          <w:rFonts w:hint="eastAsia"/>
          <w:sz w:val="20"/>
          <w:szCs w:val="20"/>
          <w:lang w:val="en-US"/>
        </w:rPr>
        <w:t>what</w:t>
      </w:r>
      <w:r>
        <w:rPr>
          <w:sz w:val="20"/>
          <w:szCs w:val="20"/>
          <w:lang w:val="en-US"/>
        </w:rPr>
        <w:t>’</w:t>
      </w:r>
      <w:r>
        <w:rPr>
          <w:rFonts w:hint="eastAsia"/>
          <w:sz w:val="20"/>
          <w:szCs w:val="20"/>
          <w:lang w:val="en-US"/>
        </w:rPr>
        <w:t xml:space="preserve">s the </w:t>
      </w:r>
      <w:proofErr w:type="spellStart"/>
      <w:r>
        <w:rPr>
          <w:rFonts w:hint="eastAsia"/>
          <w:sz w:val="20"/>
          <w:szCs w:val="20"/>
          <w:lang w:val="en-US"/>
        </w:rPr>
        <w:t>UE</w:t>
      </w:r>
      <w:proofErr w:type="spellEnd"/>
      <w:r>
        <w:rPr>
          <w:rFonts w:hint="eastAsia"/>
          <w:sz w:val="20"/>
          <w:szCs w:val="20"/>
          <w:lang w:val="en-US"/>
        </w:rPr>
        <w:t xml:space="preserve"> behavior</w:t>
      </w:r>
      <w:proofErr w:type="gramEnd"/>
      <w:r>
        <w:rPr>
          <w:rFonts w:hint="eastAsia"/>
          <w:sz w:val="20"/>
          <w:szCs w:val="20"/>
          <w:lang w:val="en-US"/>
        </w:rPr>
        <w:t xml:space="preserve"> when the scheduling is beyond </w:t>
      </w:r>
      <w:proofErr w:type="spellStart"/>
      <w:r>
        <w:rPr>
          <w:rFonts w:hint="eastAsia"/>
          <w:sz w:val="20"/>
          <w:szCs w:val="20"/>
          <w:lang w:val="en-US"/>
        </w:rPr>
        <w:t>UE</w:t>
      </w:r>
      <w:proofErr w:type="spellEnd"/>
      <w:r>
        <w:rPr>
          <w:rFonts w:hint="eastAsia"/>
          <w:sz w:val="20"/>
          <w:szCs w:val="20"/>
          <w:lang w:val="en-US"/>
        </w:rPr>
        <w:t xml:space="preserve"> capability</w:t>
      </w:r>
      <w:r w:rsidR="00C81870">
        <w:rPr>
          <w:rFonts w:hint="eastAsia"/>
          <w:sz w:val="20"/>
          <w:szCs w:val="20"/>
          <w:lang w:val="en-US"/>
        </w:rPr>
        <w:t xml:space="preserve"> or</w:t>
      </w:r>
      <w:r w:rsidR="00D65B88">
        <w:rPr>
          <w:rFonts w:hint="eastAsia"/>
          <w:sz w:val="20"/>
          <w:szCs w:val="20"/>
          <w:lang w:val="en-US"/>
        </w:rPr>
        <w:t xml:space="preserve"> the capability is absent</w:t>
      </w:r>
      <w:r>
        <w:rPr>
          <w:rFonts w:hint="eastAsia"/>
          <w:sz w:val="20"/>
          <w:szCs w:val="20"/>
          <w:lang w:val="en-US"/>
        </w:rPr>
        <w:t xml:space="preserve">. </w:t>
      </w:r>
      <w:r w:rsidR="00D65B88">
        <w:rPr>
          <w:rFonts w:hint="eastAsia"/>
          <w:sz w:val="20"/>
          <w:szCs w:val="20"/>
          <w:lang w:val="en-US"/>
        </w:rPr>
        <w:t>There</w:t>
      </w:r>
      <w:r w:rsidR="00D65B88">
        <w:rPr>
          <w:sz w:val="20"/>
          <w:szCs w:val="20"/>
          <w:lang w:val="en-US"/>
        </w:rPr>
        <w:t>’</w:t>
      </w:r>
      <w:r w:rsidR="00D65B88">
        <w:rPr>
          <w:rFonts w:hint="eastAsia"/>
          <w:sz w:val="20"/>
          <w:szCs w:val="20"/>
          <w:lang w:val="en-US"/>
        </w:rPr>
        <w:t>re two solutions exist in RAN4 now, falling back to PC3 or P-</w:t>
      </w:r>
      <w:proofErr w:type="spellStart"/>
      <w:r w:rsidR="00D65B88">
        <w:rPr>
          <w:rFonts w:hint="eastAsia"/>
          <w:sz w:val="20"/>
          <w:szCs w:val="20"/>
          <w:lang w:val="en-US"/>
        </w:rPr>
        <w:t>MPR</w:t>
      </w:r>
      <w:proofErr w:type="spellEnd"/>
      <w:r w:rsidR="00D65B88">
        <w:rPr>
          <w:rFonts w:hint="eastAsia"/>
          <w:sz w:val="20"/>
          <w:szCs w:val="20"/>
          <w:lang w:val="en-US"/>
        </w:rPr>
        <w:t xml:space="preserve">. Our understanding is that both of them may have benefits and disadvantages. Falling back to PC3 is simple and easy to be tested, but 3 dB back off may be a little large if the output power </w:t>
      </w:r>
      <w:r w:rsidR="00741B98">
        <w:rPr>
          <w:rFonts w:hint="eastAsia"/>
          <w:sz w:val="20"/>
          <w:szCs w:val="20"/>
          <w:lang w:val="en-US"/>
        </w:rPr>
        <w:t xml:space="preserve">only </w:t>
      </w:r>
      <w:r w:rsidR="00D65B88">
        <w:rPr>
          <w:rFonts w:hint="eastAsia"/>
          <w:sz w:val="20"/>
          <w:szCs w:val="20"/>
          <w:lang w:val="en-US"/>
        </w:rPr>
        <w:t xml:space="preserve">exceeds </w:t>
      </w:r>
      <w:r w:rsidR="00741B98">
        <w:rPr>
          <w:rFonts w:hint="eastAsia"/>
          <w:sz w:val="20"/>
          <w:szCs w:val="20"/>
          <w:lang w:val="en-US"/>
        </w:rPr>
        <w:t>the capability a little</w:t>
      </w:r>
      <w:r w:rsidR="00D65B88">
        <w:rPr>
          <w:rFonts w:hint="eastAsia"/>
          <w:sz w:val="20"/>
          <w:szCs w:val="20"/>
          <w:lang w:val="en-US"/>
        </w:rPr>
        <w:t>. P-</w:t>
      </w:r>
      <w:proofErr w:type="spellStart"/>
      <w:r w:rsidR="00D65B88">
        <w:rPr>
          <w:rFonts w:hint="eastAsia"/>
          <w:sz w:val="20"/>
          <w:szCs w:val="20"/>
          <w:lang w:val="en-US"/>
        </w:rPr>
        <w:t>MPR</w:t>
      </w:r>
      <w:proofErr w:type="spellEnd"/>
      <w:r w:rsidR="00D65B88">
        <w:rPr>
          <w:rFonts w:hint="eastAsia"/>
          <w:sz w:val="20"/>
          <w:szCs w:val="20"/>
          <w:lang w:val="en-US"/>
        </w:rPr>
        <w:t xml:space="preserve"> is already used for SAR requirements, but the difficulty for this solution is that it may not be easy to be tested. </w:t>
      </w:r>
      <w:r w:rsidR="00D65B88">
        <w:rPr>
          <w:sz w:val="20"/>
          <w:szCs w:val="20"/>
          <w:lang w:val="en-US"/>
        </w:rPr>
        <w:t>C</w:t>
      </w:r>
      <w:r w:rsidR="00D65B88">
        <w:rPr>
          <w:rFonts w:hint="eastAsia"/>
          <w:sz w:val="20"/>
          <w:szCs w:val="20"/>
          <w:lang w:val="en-US"/>
        </w:rPr>
        <w:t>urrent specification says,</w:t>
      </w:r>
    </w:p>
    <w:p w:rsidR="00D65B88" w:rsidRPr="00D65B88" w:rsidRDefault="00D65B88" w:rsidP="00D65B88">
      <w:pPr>
        <w:pStyle w:val="B10"/>
        <w:rPr>
          <w:i/>
          <w:lang w:eastAsia="zh-CN"/>
        </w:rPr>
      </w:pPr>
      <w:r w:rsidRPr="00D65B88">
        <w:rPr>
          <w:i/>
          <w:lang w:eastAsia="zh-CN"/>
        </w:rPr>
        <w:t xml:space="preserve">For </w:t>
      </w:r>
      <w:proofErr w:type="spellStart"/>
      <w:r w:rsidRPr="00D65B88">
        <w:rPr>
          <w:i/>
          <w:lang w:eastAsia="zh-CN"/>
        </w:rPr>
        <w:t>UE</w:t>
      </w:r>
      <w:proofErr w:type="spellEnd"/>
      <w:r w:rsidRPr="00D65B88">
        <w:rPr>
          <w:i/>
          <w:lang w:eastAsia="zh-CN"/>
        </w:rPr>
        <w:t xml:space="preserve"> conducted conformance testing P-</w:t>
      </w:r>
      <w:proofErr w:type="spellStart"/>
      <w:r w:rsidRPr="00D65B88">
        <w:rPr>
          <w:i/>
          <w:lang w:eastAsia="zh-CN"/>
        </w:rPr>
        <w:t>MPR</w:t>
      </w:r>
      <w:r w:rsidRPr="00D65B88">
        <w:rPr>
          <w:i/>
          <w:vertAlign w:val="subscript"/>
          <w:lang w:eastAsia="zh-CN"/>
        </w:rPr>
        <w:t>c</w:t>
      </w:r>
      <w:proofErr w:type="spellEnd"/>
      <w:r w:rsidRPr="00D65B88">
        <w:rPr>
          <w:i/>
          <w:lang w:eastAsia="zh-CN"/>
        </w:rPr>
        <w:t xml:space="preserve"> shall be 0 </w:t>
      </w:r>
      <w:proofErr w:type="spellStart"/>
      <w:r w:rsidRPr="00D65B88">
        <w:rPr>
          <w:i/>
          <w:lang w:eastAsia="zh-CN"/>
        </w:rPr>
        <w:t>dB</w:t>
      </w:r>
      <w:r>
        <w:rPr>
          <w:rFonts w:hint="eastAsia"/>
          <w:i/>
          <w:lang w:eastAsia="zh-CN"/>
        </w:rPr>
        <w:t>.</w:t>
      </w:r>
      <w:proofErr w:type="spellEnd"/>
    </w:p>
    <w:p w:rsidR="00D65B88" w:rsidRDefault="00D65B88" w:rsidP="00900DA1">
      <w:pPr>
        <w:rPr>
          <w:sz w:val="20"/>
          <w:szCs w:val="20"/>
        </w:rPr>
      </w:pPr>
      <w:r>
        <w:rPr>
          <w:rFonts w:hint="eastAsia"/>
          <w:sz w:val="20"/>
          <w:szCs w:val="20"/>
        </w:rPr>
        <w:t xml:space="preserve">However, as SAR test is a totally different test compared with </w:t>
      </w:r>
      <w:proofErr w:type="spellStart"/>
      <w:r>
        <w:rPr>
          <w:rFonts w:hint="eastAsia"/>
          <w:sz w:val="20"/>
          <w:szCs w:val="20"/>
        </w:rPr>
        <w:t>RF</w:t>
      </w:r>
      <w:proofErr w:type="spellEnd"/>
      <w:r>
        <w:rPr>
          <w:rFonts w:hint="eastAsia"/>
          <w:sz w:val="20"/>
          <w:szCs w:val="20"/>
        </w:rPr>
        <w:t xml:space="preserve"> test, the </w:t>
      </w:r>
      <w:r>
        <w:rPr>
          <w:sz w:val="20"/>
          <w:szCs w:val="20"/>
        </w:rPr>
        <w:t>behaviour</w:t>
      </w:r>
      <w:r>
        <w:rPr>
          <w:rFonts w:hint="eastAsia"/>
          <w:sz w:val="20"/>
          <w:szCs w:val="20"/>
        </w:rPr>
        <w:t xml:space="preserve"> in SAR test can</w:t>
      </w:r>
      <w:r>
        <w:rPr>
          <w:sz w:val="20"/>
          <w:szCs w:val="20"/>
        </w:rPr>
        <w:t>’</w:t>
      </w:r>
      <w:r>
        <w:rPr>
          <w:rFonts w:hint="eastAsia"/>
          <w:sz w:val="20"/>
          <w:szCs w:val="20"/>
        </w:rPr>
        <w:t xml:space="preserve">t be measured in any </w:t>
      </w:r>
      <w:proofErr w:type="spellStart"/>
      <w:r>
        <w:rPr>
          <w:rFonts w:hint="eastAsia"/>
          <w:sz w:val="20"/>
          <w:szCs w:val="20"/>
        </w:rPr>
        <w:t>RF</w:t>
      </w:r>
      <w:proofErr w:type="spellEnd"/>
      <w:r>
        <w:rPr>
          <w:rFonts w:hint="eastAsia"/>
          <w:sz w:val="20"/>
          <w:szCs w:val="20"/>
        </w:rPr>
        <w:t xml:space="preserve"> test.</w:t>
      </w:r>
    </w:p>
    <w:p w:rsidR="00D65B88" w:rsidRPr="00D65B88" w:rsidRDefault="00D65B88" w:rsidP="00900DA1">
      <w:pPr>
        <w:rPr>
          <w:sz w:val="20"/>
          <w:szCs w:val="20"/>
        </w:rPr>
      </w:pPr>
      <w:r>
        <w:rPr>
          <w:rFonts w:hint="eastAsia"/>
          <w:sz w:val="20"/>
          <w:szCs w:val="20"/>
        </w:rPr>
        <w:t xml:space="preserve">For </w:t>
      </w:r>
      <w:proofErr w:type="spellStart"/>
      <w:r>
        <w:rPr>
          <w:rFonts w:hint="eastAsia"/>
          <w:sz w:val="20"/>
          <w:szCs w:val="20"/>
        </w:rPr>
        <w:t>FDD+TDD</w:t>
      </w:r>
      <w:proofErr w:type="spellEnd"/>
      <w:r>
        <w:rPr>
          <w:rFonts w:hint="eastAsia"/>
          <w:sz w:val="20"/>
          <w:szCs w:val="20"/>
        </w:rPr>
        <w:t xml:space="preserve"> EN-DC </w:t>
      </w:r>
      <w:proofErr w:type="spellStart"/>
      <w:r>
        <w:rPr>
          <w:rFonts w:hint="eastAsia"/>
          <w:sz w:val="20"/>
          <w:szCs w:val="20"/>
        </w:rPr>
        <w:t>HPUE</w:t>
      </w:r>
      <w:proofErr w:type="spellEnd"/>
      <w:r>
        <w:rPr>
          <w:rFonts w:hint="eastAsia"/>
          <w:sz w:val="20"/>
          <w:szCs w:val="20"/>
        </w:rPr>
        <w:t xml:space="preserve">, falling back solution was agreed when </w:t>
      </w:r>
      <w:proofErr w:type="spellStart"/>
      <w:r>
        <w:rPr>
          <w:rFonts w:hint="eastAsia"/>
          <w:sz w:val="20"/>
          <w:szCs w:val="20"/>
        </w:rPr>
        <w:t>UE</w:t>
      </w:r>
      <w:proofErr w:type="spellEnd"/>
      <w:r>
        <w:rPr>
          <w:rFonts w:hint="eastAsia"/>
          <w:sz w:val="20"/>
          <w:szCs w:val="20"/>
        </w:rPr>
        <w:t xml:space="preserve"> reports the capability and the scheduling is beyond the capability. When the capability is absent, P-</w:t>
      </w:r>
      <w:proofErr w:type="spellStart"/>
      <w:r>
        <w:rPr>
          <w:rFonts w:hint="eastAsia"/>
          <w:sz w:val="20"/>
          <w:szCs w:val="20"/>
        </w:rPr>
        <w:t>MPR</w:t>
      </w:r>
      <w:proofErr w:type="spellEnd"/>
      <w:r>
        <w:rPr>
          <w:rFonts w:hint="eastAsia"/>
          <w:sz w:val="20"/>
          <w:szCs w:val="20"/>
        </w:rPr>
        <w:t xml:space="preserve"> solution is allowed. For intra-band contiguous UL CA </w:t>
      </w:r>
      <w:proofErr w:type="spellStart"/>
      <w:r>
        <w:rPr>
          <w:rFonts w:hint="eastAsia"/>
          <w:sz w:val="20"/>
          <w:szCs w:val="20"/>
        </w:rPr>
        <w:t>HPUE</w:t>
      </w:r>
      <w:proofErr w:type="spellEnd"/>
      <w:r>
        <w:rPr>
          <w:rFonts w:hint="eastAsia"/>
          <w:sz w:val="20"/>
          <w:szCs w:val="20"/>
        </w:rPr>
        <w:t>, the solution may need more views from operators and vendors.</w:t>
      </w:r>
    </w:p>
    <w:p w:rsidR="001C0B7E" w:rsidRDefault="00D65B88" w:rsidP="00900DA1">
      <w:pPr>
        <w:rPr>
          <w:b/>
        </w:rPr>
      </w:pPr>
      <w:r>
        <w:rPr>
          <w:rFonts w:hint="eastAsia"/>
          <w:b/>
          <w:lang w:val="en-US"/>
        </w:rPr>
        <w:t>Observation</w:t>
      </w:r>
      <w:r w:rsidR="001C0B7E">
        <w:rPr>
          <w:rFonts w:hint="eastAsia"/>
          <w:b/>
        </w:rPr>
        <w:t xml:space="preserve"> </w:t>
      </w:r>
      <w:r>
        <w:rPr>
          <w:rFonts w:hint="eastAsia"/>
          <w:b/>
        </w:rPr>
        <w:t>3</w:t>
      </w:r>
      <w:r w:rsidR="001C0B7E">
        <w:rPr>
          <w:rFonts w:hint="eastAsia"/>
          <w:b/>
        </w:rPr>
        <w:t xml:space="preserve">: </w:t>
      </w:r>
      <w:r>
        <w:rPr>
          <w:rFonts w:hint="eastAsia"/>
          <w:b/>
        </w:rPr>
        <w:t xml:space="preserve">The solution for the </w:t>
      </w:r>
      <w:proofErr w:type="spellStart"/>
      <w:r>
        <w:rPr>
          <w:rFonts w:hint="eastAsia"/>
          <w:b/>
        </w:rPr>
        <w:t>UE</w:t>
      </w:r>
      <w:proofErr w:type="spellEnd"/>
      <w:r>
        <w:rPr>
          <w:rFonts w:hint="eastAsia"/>
          <w:b/>
        </w:rPr>
        <w:t xml:space="preserve"> </w:t>
      </w:r>
      <w:r>
        <w:rPr>
          <w:b/>
        </w:rPr>
        <w:t>behaviour</w:t>
      </w:r>
      <w:r>
        <w:rPr>
          <w:rFonts w:hint="eastAsia"/>
          <w:b/>
        </w:rPr>
        <w:t xml:space="preserve"> when the scheduling is beyond </w:t>
      </w:r>
      <w:proofErr w:type="spellStart"/>
      <w:r>
        <w:rPr>
          <w:rFonts w:hint="eastAsia"/>
          <w:b/>
        </w:rPr>
        <w:t>UE</w:t>
      </w:r>
      <w:proofErr w:type="spellEnd"/>
      <w:r>
        <w:rPr>
          <w:rFonts w:hint="eastAsia"/>
          <w:b/>
        </w:rPr>
        <w:t xml:space="preserve"> duty cycle capability and/or the capability is absent needs more discussion.</w:t>
      </w:r>
    </w:p>
    <w:p w:rsidR="003942C0" w:rsidRDefault="003942C0" w:rsidP="003942C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lastRenderedPageBreak/>
        <w:t>Conclusion</w:t>
      </w:r>
    </w:p>
    <w:p w:rsidR="00741B98" w:rsidRPr="00741B98" w:rsidRDefault="00741B98" w:rsidP="00741B98">
      <w:pPr>
        <w:rPr>
          <w:sz w:val="20"/>
          <w:szCs w:val="20"/>
        </w:rPr>
      </w:pPr>
      <w:r w:rsidRPr="00741B98">
        <w:rPr>
          <w:rFonts w:hint="eastAsia"/>
          <w:sz w:val="20"/>
          <w:szCs w:val="20"/>
        </w:rPr>
        <w:t xml:space="preserve">This contribution provides some analysis for the </w:t>
      </w:r>
      <w:r w:rsidRPr="00741B98">
        <w:rPr>
          <w:rFonts w:hint="eastAsia"/>
          <w:sz w:val="20"/>
          <w:szCs w:val="20"/>
        </w:rPr>
        <w:t>SAR solutions of</w:t>
      </w:r>
      <w:r w:rsidRPr="00741B98">
        <w:rPr>
          <w:sz w:val="20"/>
          <w:szCs w:val="20"/>
        </w:rPr>
        <w:t xml:space="preserve"> </w:t>
      </w:r>
      <w:proofErr w:type="spellStart"/>
      <w:r w:rsidRPr="00741B98">
        <w:rPr>
          <w:sz w:val="20"/>
          <w:szCs w:val="20"/>
        </w:rPr>
        <w:t>TDD</w:t>
      </w:r>
      <w:proofErr w:type="spellEnd"/>
      <w:r w:rsidRPr="00741B98">
        <w:rPr>
          <w:sz w:val="20"/>
          <w:szCs w:val="20"/>
        </w:rPr>
        <w:t xml:space="preserve"> intra-band contiguous UL CA</w:t>
      </w:r>
      <w:r w:rsidRPr="00741B98">
        <w:rPr>
          <w:rFonts w:hint="eastAsia"/>
          <w:sz w:val="20"/>
          <w:szCs w:val="20"/>
        </w:rPr>
        <w:t xml:space="preserve"> </w:t>
      </w:r>
      <w:proofErr w:type="spellStart"/>
      <w:proofErr w:type="gramStart"/>
      <w:r w:rsidRPr="00741B98">
        <w:rPr>
          <w:sz w:val="20"/>
          <w:szCs w:val="20"/>
        </w:rPr>
        <w:t>HPUE</w:t>
      </w:r>
      <w:proofErr w:type="spellEnd"/>
      <w:r>
        <w:rPr>
          <w:rFonts w:hint="eastAsia"/>
          <w:sz w:val="20"/>
          <w:szCs w:val="20"/>
        </w:rPr>
        <w:t>,</w:t>
      </w:r>
      <w:proofErr w:type="gramEnd"/>
      <w:r>
        <w:rPr>
          <w:rFonts w:hint="eastAsia"/>
          <w:sz w:val="20"/>
          <w:szCs w:val="20"/>
        </w:rPr>
        <w:t xml:space="preserve"> we have the following proposals and observations.</w:t>
      </w:r>
    </w:p>
    <w:p w:rsidR="00741B98" w:rsidRPr="006B2A9A" w:rsidRDefault="00741B98" w:rsidP="00741B98">
      <w:pPr>
        <w:rPr>
          <w:b/>
          <w:iCs/>
        </w:rPr>
      </w:pPr>
      <w:r w:rsidRPr="006B2A9A">
        <w:rPr>
          <w:rFonts w:hint="eastAsia"/>
          <w:b/>
        </w:rPr>
        <w:t>Observation 1: Duty cycle based solution and fall back/P-</w:t>
      </w:r>
      <w:proofErr w:type="spellStart"/>
      <w:r w:rsidRPr="006B2A9A">
        <w:rPr>
          <w:rFonts w:hint="eastAsia"/>
          <w:b/>
        </w:rPr>
        <w:t>MPR</w:t>
      </w:r>
      <w:proofErr w:type="spellEnd"/>
      <w:r w:rsidRPr="006B2A9A">
        <w:rPr>
          <w:rFonts w:hint="eastAsia"/>
          <w:b/>
        </w:rPr>
        <w:t xml:space="preserve"> solution </w:t>
      </w:r>
      <w:r>
        <w:rPr>
          <w:rFonts w:hint="eastAsia"/>
          <w:b/>
        </w:rPr>
        <w:t>were</w:t>
      </w:r>
      <w:r w:rsidRPr="006B2A9A">
        <w:rPr>
          <w:rFonts w:hint="eastAsia"/>
          <w:b/>
        </w:rPr>
        <w:t xml:space="preserve"> chosen </w:t>
      </w:r>
      <w:r w:rsidRPr="006B2A9A">
        <w:rPr>
          <w:b/>
        </w:rPr>
        <w:t>for the</w:t>
      </w:r>
      <w:r w:rsidRPr="006B2A9A">
        <w:rPr>
          <w:rFonts w:hint="eastAsia"/>
          <w:b/>
        </w:rPr>
        <w:t xml:space="preserve"> closed </w:t>
      </w:r>
      <w:proofErr w:type="spellStart"/>
      <w:r w:rsidRPr="006B2A9A">
        <w:rPr>
          <w:rFonts w:hint="eastAsia"/>
          <w:b/>
        </w:rPr>
        <w:t>HPUE</w:t>
      </w:r>
      <w:proofErr w:type="spellEnd"/>
      <w:r w:rsidRPr="006B2A9A">
        <w:rPr>
          <w:rFonts w:hint="eastAsia"/>
          <w:b/>
        </w:rPr>
        <w:t xml:space="preserve"> topics.</w:t>
      </w:r>
    </w:p>
    <w:p w:rsidR="00741B98" w:rsidRPr="006B2A9A" w:rsidRDefault="00741B98" w:rsidP="00741B98">
      <w:pPr>
        <w:rPr>
          <w:b/>
        </w:rPr>
      </w:pPr>
      <w:r w:rsidRPr="006B2A9A">
        <w:rPr>
          <w:rFonts w:hint="eastAsia"/>
          <w:b/>
        </w:rPr>
        <w:t>Observation 2: The RAN1 transmission power priority considers both physical channels and cells. It</w:t>
      </w:r>
      <w:r w:rsidRPr="006B2A9A">
        <w:rPr>
          <w:b/>
        </w:rPr>
        <w:t>’</w:t>
      </w:r>
      <w:r w:rsidRPr="006B2A9A">
        <w:rPr>
          <w:rFonts w:hint="eastAsia"/>
          <w:b/>
        </w:rPr>
        <w:t xml:space="preserve">s difficult to say which </w:t>
      </w:r>
      <w:r>
        <w:rPr>
          <w:rFonts w:hint="eastAsia"/>
          <w:b/>
        </w:rPr>
        <w:t xml:space="preserve">cell of </w:t>
      </w:r>
      <w:proofErr w:type="spellStart"/>
      <w:r w:rsidRPr="006B2A9A">
        <w:rPr>
          <w:rFonts w:hint="eastAsia"/>
          <w:b/>
        </w:rPr>
        <w:t>Pcell</w:t>
      </w:r>
      <w:proofErr w:type="spellEnd"/>
      <w:r w:rsidRPr="006B2A9A">
        <w:rPr>
          <w:rFonts w:hint="eastAsia"/>
          <w:b/>
        </w:rPr>
        <w:t xml:space="preserve"> or </w:t>
      </w:r>
      <w:proofErr w:type="spellStart"/>
      <w:r w:rsidRPr="006B2A9A">
        <w:rPr>
          <w:rFonts w:hint="eastAsia"/>
          <w:b/>
        </w:rPr>
        <w:t>Scell</w:t>
      </w:r>
      <w:proofErr w:type="spellEnd"/>
      <w:r w:rsidRPr="006B2A9A">
        <w:rPr>
          <w:rFonts w:hint="eastAsia"/>
          <w:b/>
        </w:rPr>
        <w:t xml:space="preserve"> should be prioritized.</w:t>
      </w:r>
    </w:p>
    <w:p w:rsidR="00741B98" w:rsidRDefault="00741B98" w:rsidP="00741B98">
      <w:pPr>
        <w:rPr>
          <w:rFonts w:hint="eastAsia"/>
          <w:b/>
          <w:sz w:val="20"/>
          <w:szCs w:val="20"/>
          <w:lang w:val="en-US"/>
        </w:rPr>
      </w:pPr>
      <w:r w:rsidRPr="003942C0">
        <w:rPr>
          <w:rFonts w:hint="eastAsia"/>
          <w:b/>
          <w:sz w:val="20"/>
          <w:szCs w:val="20"/>
          <w:lang w:val="en-US"/>
        </w:rPr>
        <w:t xml:space="preserve">Proposal 1: Duty cycle based SAR solution is used by </w:t>
      </w:r>
      <w:proofErr w:type="spellStart"/>
      <w:r w:rsidRPr="003942C0">
        <w:rPr>
          <w:rFonts w:hint="eastAsia"/>
          <w:b/>
          <w:sz w:val="20"/>
          <w:szCs w:val="20"/>
          <w:lang w:val="en-US"/>
        </w:rPr>
        <w:t>TDD</w:t>
      </w:r>
      <w:proofErr w:type="spellEnd"/>
      <w:r w:rsidRPr="003942C0">
        <w:rPr>
          <w:rFonts w:hint="eastAsia"/>
          <w:b/>
          <w:sz w:val="20"/>
          <w:szCs w:val="20"/>
          <w:lang w:val="en-US"/>
        </w:rPr>
        <w:t xml:space="preserve"> intra-band contiguous UL CA.</w:t>
      </w:r>
    </w:p>
    <w:p w:rsidR="00741B98" w:rsidRPr="00741B98" w:rsidRDefault="00741B98" w:rsidP="00741B98">
      <w:pPr>
        <w:rPr>
          <w:b/>
          <w:sz w:val="20"/>
          <w:szCs w:val="20"/>
          <w:lang w:val="en-US"/>
        </w:rPr>
      </w:pPr>
      <w:r w:rsidRPr="003942C0">
        <w:rPr>
          <w:rFonts w:hint="eastAsia"/>
          <w:b/>
          <w:sz w:val="20"/>
          <w:szCs w:val="20"/>
          <w:lang w:val="en-US"/>
        </w:rPr>
        <w:t xml:space="preserve">Proposal 2: Total duty cycle capability </w:t>
      </w:r>
      <w:r>
        <w:rPr>
          <w:rFonts w:hint="eastAsia"/>
          <w:b/>
          <w:sz w:val="20"/>
          <w:szCs w:val="20"/>
          <w:lang w:val="en-US"/>
        </w:rPr>
        <w:t xml:space="preserve">for the two UL carriers </w:t>
      </w:r>
      <w:r w:rsidRPr="003942C0">
        <w:rPr>
          <w:rFonts w:hint="eastAsia"/>
          <w:b/>
          <w:sz w:val="20"/>
          <w:szCs w:val="20"/>
          <w:lang w:val="en-US"/>
        </w:rPr>
        <w:t>can be reported to the network.</w:t>
      </w:r>
    </w:p>
    <w:p w:rsidR="00741B98" w:rsidRDefault="00741B98" w:rsidP="00741B98">
      <w:pPr>
        <w:rPr>
          <w:b/>
        </w:rPr>
      </w:pPr>
      <w:r w:rsidRPr="003942C0">
        <w:rPr>
          <w:rFonts w:hint="eastAsia"/>
          <w:b/>
          <w:sz w:val="20"/>
          <w:szCs w:val="20"/>
          <w:lang w:val="en-US"/>
        </w:rPr>
        <w:t xml:space="preserve">Proposal 3: </w:t>
      </w:r>
      <w:proofErr w:type="spellStart"/>
      <w:r w:rsidRPr="003942C0">
        <w:rPr>
          <w:rFonts w:hint="eastAsia"/>
          <w:b/>
          <w:sz w:val="20"/>
          <w:szCs w:val="20"/>
          <w:lang w:val="en-US"/>
        </w:rPr>
        <w:t>TDD</w:t>
      </w:r>
      <w:proofErr w:type="spellEnd"/>
      <w:r w:rsidRPr="003942C0">
        <w:rPr>
          <w:rFonts w:hint="eastAsia"/>
          <w:b/>
          <w:sz w:val="20"/>
          <w:szCs w:val="20"/>
          <w:lang w:val="en-US"/>
        </w:rPr>
        <w:t xml:space="preserve"> intra-band </w:t>
      </w:r>
      <w:r w:rsidRPr="003942C0">
        <w:rPr>
          <w:b/>
          <w:sz w:val="20"/>
          <w:szCs w:val="20"/>
          <w:lang w:val="en-US"/>
        </w:rPr>
        <w:t>contiguous</w:t>
      </w:r>
      <w:r w:rsidRPr="003942C0">
        <w:rPr>
          <w:rFonts w:hint="eastAsia"/>
          <w:b/>
          <w:sz w:val="20"/>
          <w:szCs w:val="20"/>
          <w:lang w:val="en-US"/>
        </w:rPr>
        <w:t xml:space="preserve"> UL CA total duty cycle capability can </w:t>
      </w:r>
      <w:r>
        <w:rPr>
          <w:rFonts w:hint="eastAsia"/>
          <w:b/>
          <w:sz w:val="20"/>
          <w:szCs w:val="20"/>
          <w:lang w:val="en-US"/>
        </w:rPr>
        <w:t xml:space="preserve">be defined </w:t>
      </w:r>
      <w:r w:rsidRPr="003942C0">
        <w:rPr>
          <w:b/>
          <w:sz w:val="20"/>
          <w:szCs w:val="20"/>
          <w:lang w:val="en-US"/>
        </w:rPr>
        <w:t>refer</w:t>
      </w:r>
      <w:r>
        <w:rPr>
          <w:b/>
          <w:sz w:val="20"/>
          <w:szCs w:val="20"/>
          <w:lang w:val="en-US"/>
        </w:rPr>
        <w:t>ring</w:t>
      </w:r>
      <w:r w:rsidRPr="003942C0">
        <w:rPr>
          <w:rFonts w:hint="eastAsia"/>
          <w:b/>
          <w:sz w:val="20"/>
          <w:szCs w:val="20"/>
          <w:lang w:val="en-US"/>
        </w:rPr>
        <w:t xml:space="preserve"> </w:t>
      </w:r>
      <w:proofErr w:type="spellStart"/>
      <w:r w:rsidRPr="003942C0">
        <w:rPr>
          <w:rFonts w:hint="eastAsia"/>
          <w:b/>
          <w:sz w:val="20"/>
          <w:szCs w:val="20"/>
          <w:lang w:val="en-US"/>
        </w:rPr>
        <w:t>TDD</w:t>
      </w:r>
      <w:proofErr w:type="spellEnd"/>
      <w:r w:rsidRPr="003942C0">
        <w:rPr>
          <w:rFonts w:hint="eastAsia"/>
          <w:b/>
          <w:sz w:val="20"/>
          <w:szCs w:val="20"/>
          <w:lang w:val="en-US"/>
        </w:rPr>
        <w:t xml:space="preserve"> single carrier </w:t>
      </w:r>
      <w:proofErr w:type="spellStart"/>
      <w:r w:rsidRPr="003942C0">
        <w:rPr>
          <w:rFonts w:hint="eastAsia"/>
          <w:b/>
          <w:sz w:val="20"/>
          <w:szCs w:val="20"/>
          <w:lang w:val="en-US"/>
        </w:rPr>
        <w:t>HPUE</w:t>
      </w:r>
      <w:proofErr w:type="spellEnd"/>
      <w:r w:rsidRPr="003942C0">
        <w:rPr>
          <w:rFonts w:hint="eastAsia"/>
          <w:b/>
          <w:sz w:val="20"/>
          <w:szCs w:val="20"/>
          <w:lang w:val="en-US"/>
        </w:rPr>
        <w:t xml:space="preserve">  duty cycle capability, i.e. 50% is the </w:t>
      </w:r>
      <w:r w:rsidRPr="003942C0">
        <w:rPr>
          <w:b/>
          <w:sz w:val="20"/>
          <w:szCs w:val="20"/>
          <w:lang w:val="en-US"/>
        </w:rPr>
        <w:t>default</w:t>
      </w:r>
      <w:r w:rsidRPr="003942C0">
        <w:rPr>
          <w:rFonts w:hint="eastAsia"/>
          <w:b/>
          <w:sz w:val="20"/>
          <w:szCs w:val="20"/>
          <w:lang w:val="en-US"/>
        </w:rPr>
        <w:t xml:space="preserve"> total duty cycle capability and the reported IE can be defined as </w:t>
      </w:r>
      <w:r w:rsidRPr="00C81870">
        <w:rPr>
          <w:b/>
        </w:rPr>
        <w:t>ENUMERATED</w:t>
      </w:r>
      <w:r w:rsidRPr="003942C0">
        <w:rPr>
          <w:b/>
        </w:rPr>
        <w:t xml:space="preserve"> {n60, n70, n80, n90, n100}</w:t>
      </w:r>
      <w:r w:rsidRPr="003942C0">
        <w:rPr>
          <w:rFonts w:hint="eastAsia"/>
          <w:b/>
        </w:rPr>
        <w:t>.</w:t>
      </w:r>
    </w:p>
    <w:p w:rsidR="003942C0" w:rsidRPr="00741B98" w:rsidRDefault="00741B98" w:rsidP="00900DA1">
      <w:r>
        <w:rPr>
          <w:rFonts w:hint="eastAsia"/>
          <w:b/>
          <w:lang w:val="en-US"/>
        </w:rPr>
        <w:t>Observation</w:t>
      </w:r>
      <w:r>
        <w:rPr>
          <w:rFonts w:hint="eastAsia"/>
          <w:b/>
        </w:rPr>
        <w:t xml:space="preserve"> 3: The solution for the </w:t>
      </w:r>
      <w:proofErr w:type="spellStart"/>
      <w:r>
        <w:rPr>
          <w:rFonts w:hint="eastAsia"/>
          <w:b/>
        </w:rPr>
        <w:t>UE</w:t>
      </w:r>
      <w:proofErr w:type="spellEnd"/>
      <w:r>
        <w:rPr>
          <w:rFonts w:hint="eastAsia"/>
          <w:b/>
        </w:rPr>
        <w:t xml:space="preserve"> </w:t>
      </w:r>
      <w:r>
        <w:rPr>
          <w:b/>
        </w:rPr>
        <w:t>behaviour</w:t>
      </w:r>
      <w:r>
        <w:rPr>
          <w:rFonts w:hint="eastAsia"/>
          <w:b/>
        </w:rPr>
        <w:t xml:space="preserve"> when the scheduling is beyond </w:t>
      </w:r>
      <w:proofErr w:type="spellStart"/>
      <w:r>
        <w:rPr>
          <w:rFonts w:hint="eastAsia"/>
          <w:b/>
        </w:rPr>
        <w:t>UE</w:t>
      </w:r>
      <w:proofErr w:type="spellEnd"/>
      <w:r>
        <w:rPr>
          <w:rFonts w:hint="eastAsia"/>
          <w:b/>
        </w:rPr>
        <w:t xml:space="preserve"> duty cycle capability and/or the capability is absent needs more discussion.</w:t>
      </w:r>
      <w:bookmarkStart w:id="9" w:name="_GoBack"/>
      <w:bookmarkEnd w:id="9"/>
    </w:p>
    <w:p w:rsidR="00EE45A3" w:rsidRDefault="00EE45A3" w:rsidP="00FC71D3">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7E29D8" w:rsidRPr="00844F13" w:rsidRDefault="004E02A3" w:rsidP="00844F13">
      <w:pPr>
        <w:spacing w:before="0" w:after="120"/>
        <w:jc w:val="left"/>
        <w:rPr>
          <w:sz w:val="20"/>
          <w:szCs w:val="20"/>
        </w:rPr>
      </w:pPr>
      <w:r>
        <w:rPr>
          <w:rFonts w:hint="eastAsia"/>
          <w:sz w:val="20"/>
          <w:szCs w:val="20"/>
        </w:rPr>
        <w:t xml:space="preserve">[1] </w:t>
      </w:r>
      <w:r w:rsidR="00844F13" w:rsidRPr="00844F13">
        <w:rPr>
          <w:sz w:val="20"/>
          <w:szCs w:val="20"/>
        </w:rPr>
        <w:t>RP‑202088</w:t>
      </w:r>
      <w:r w:rsidR="00844F13" w:rsidRPr="00844F13">
        <w:rPr>
          <w:rFonts w:hint="eastAsia"/>
          <w:sz w:val="20"/>
          <w:szCs w:val="20"/>
        </w:rPr>
        <w:t xml:space="preserve">, </w:t>
      </w:r>
      <w:r w:rsidR="00844F13" w:rsidRPr="00844F13">
        <w:rPr>
          <w:sz w:val="20"/>
          <w:szCs w:val="20"/>
        </w:rPr>
        <w:t xml:space="preserve">New </w:t>
      </w:r>
      <w:proofErr w:type="spellStart"/>
      <w:r w:rsidR="00844F13" w:rsidRPr="00844F13">
        <w:rPr>
          <w:sz w:val="20"/>
          <w:szCs w:val="20"/>
        </w:rPr>
        <w:t>WID</w:t>
      </w:r>
      <w:proofErr w:type="spellEnd"/>
      <w:r w:rsidR="00844F13" w:rsidRPr="00844F13">
        <w:rPr>
          <w:sz w:val="20"/>
          <w:szCs w:val="20"/>
        </w:rPr>
        <w:t xml:space="preserve"> proposal: </w:t>
      </w:r>
      <w:proofErr w:type="spellStart"/>
      <w:r w:rsidR="00844F13" w:rsidRPr="00844F13">
        <w:rPr>
          <w:sz w:val="20"/>
          <w:szCs w:val="20"/>
        </w:rPr>
        <w:t>RF</w:t>
      </w:r>
      <w:proofErr w:type="spellEnd"/>
      <w:r w:rsidR="00844F13" w:rsidRPr="00844F13">
        <w:rPr>
          <w:sz w:val="20"/>
          <w:szCs w:val="20"/>
        </w:rPr>
        <w:t xml:space="preserve"> requirements enhancement for NR frequency range 1 (FR1) in Rel-17</w:t>
      </w:r>
      <w:r w:rsidR="00844F13" w:rsidRPr="00844F13">
        <w:rPr>
          <w:rFonts w:hint="eastAsia"/>
          <w:sz w:val="20"/>
          <w:szCs w:val="20"/>
        </w:rPr>
        <w:t xml:space="preserve">, Huawei, </w:t>
      </w:r>
      <w:proofErr w:type="spellStart"/>
      <w:r w:rsidR="00844F13" w:rsidRPr="00844F13">
        <w:rPr>
          <w:rFonts w:hint="eastAsia"/>
          <w:sz w:val="20"/>
          <w:szCs w:val="20"/>
        </w:rPr>
        <w:t>HiSilicon</w:t>
      </w:r>
      <w:proofErr w:type="spellEnd"/>
      <w:r w:rsidR="00844F13" w:rsidRPr="00844F13">
        <w:rPr>
          <w:sz w:val="20"/>
          <w:szCs w:val="20"/>
        </w:rPr>
        <w:t>, China Telecom</w:t>
      </w:r>
    </w:p>
    <w:sectPr w:rsidR="007E29D8" w:rsidRPr="00844F13"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952" w:rsidRDefault="009C5952" w:rsidP="0095591C">
      <w:pPr>
        <w:spacing w:after="60"/>
        <w:ind w:left="210"/>
      </w:pPr>
      <w:r>
        <w:separator/>
      </w:r>
    </w:p>
  </w:endnote>
  <w:endnote w:type="continuationSeparator" w:id="0">
    <w:p w:rsidR="009C5952" w:rsidRDefault="009C595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4D" w:rsidRDefault="00742D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41B98">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952" w:rsidRDefault="009C5952" w:rsidP="0095591C">
      <w:pPr>
        <w:spacing w:after="60"/>
        <w:ind w:left="210"/>
      </w:pPr>
      <w:r>
        <w:separator/>
      </w:r>
    </w:p>
  </w:footnote>
  <w:footnote w:type="continuationSeparator" w:id="0">
    <w:p w:rsidR="009C5952" w:rsidRDefault="009C595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4D" w:rsidRDefault="00742D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AA56E5"/>
    <w:multiLevelType w:val="hybridMultilevel"/>
    <w:tmpl w:val="CF5A4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F9429EE"/>
    <w:multiLevelType w:val="hybridMultilevel"/>
    <w:tmpl w:val="8B6634DC"/>
    <w:lvl w:ilvl="0" w:tplc="5B46F5FC">
      <w:start w:val="1"/>
      <w:numFmt w:val="bullet"/>
      <w:lvlText w:val="•"/>
      <w:lvlJc w:val="left"/>
      <w:pPr>
        <w:tabs>
          <w:tab w:val="num" w:pos="720"/>
        </w:tabs>
        <w:ind w:left="720" w:hanging="360"/>
      </w:pPr>
      <w:rPr>
        <w:rFonts w:ascii="Arial" w:hAnsi="Arial" w:hint="default"/>
      </w:rPr>
    </w:lvl>
    <w:lvl w:ilvl="1" w:tplc="82AED1C0">
      <w:start w:val="4862"/>
      <w:numFmt w:val="bullet"/>
      <w:lvlText w:val="•"/>
      <w:lvlJc w:val="left"/>
      <w:pPr>
        <w:tabs>
          <w:tab w:val="num" w:pos="1440"/>
        </w:tabs>
        <w:ind w:left="1440" w:hanging="360"/>
      </w:pPr>
      <w:rPr>
        <w:rFonts w:ascii="Arial" w:hAnsi="Arial" w:hint="default"/>
      </w:rPr>
    </w:lvl>
    <w:lvl w:ilvl="2" w:tplc="74543BF8">
      <w:start w:val="4862"/>
      <w:numFmt w:val="bullet"/>
      <w:lvlText w:val="•"/>
      <w:lvlJc w:val="left"/>
      <w:pPr>
        <w:tabs>
          <w:tab w:val="num" w:pos="2160"/>
        </w:tabs>
        <w:ind w:left="2160" w:hanging="360"/>
      </w:pPr>
      <w:rPr>
        <w:rFonts w:ascii="Arial" w:hAnsi="Arial" w:hint="default"/>
      </w:rPr>
    </w:lvl>
    <w:lvl w:ilvl="3" w:tplc="1048DD98">
      <w:start w:val="4862"/>
      <w:numFmt w:val="bullet"/>
      <w:lvlText w:val="•"/>
      <w:lvlJc w:val="left"/>
      <w:pPr>
        <w:tabs>
          <w:tab w:val="num" w:pos="2880"/>
        </w:tabs>
        <w:ind w:left="2880" w:hanging="360"/>
      </w:pPr>
      <w:rPr>
        <w:rFonts w:ascii="Arial" w:hAnsi="Arial" w:hint="default"/>
      </w:rPr>
    </w:lvl>
    <w:lvl w:ilvl="4" w:tplc="8CF628FC" w:tentative="1">
      <w:start w:val="1"/>
      <w:numFmt w:val="bullet"/>
      <w:lvlText w:val="•"/>
      <w:lvlJc w:val="left"/>
      <w:pPr>
        <w:tabs>
          <w:tab w:val="num" w:pos="3600"/>
        </w:tabs>
        <w:ind w:left="3600" w:hanging="360"/>
      </w:pPr>
      <w:rPr>
        <w:rFonts w:ascii="Arial" w:hAnsi="Arial" w:hint="default"/>
      </w:rPr>
    </w:lvl>
    <w:lvl w:ilvl="5" w:tplc="A792FA4E" w:tentative="1">
      <w:start w:val="1"/>
      <w:numFmt w:val="bullet"/>
      <w:lvlText w:val="•"/>
      <w:lvlJc w:val="left"/>
      <w:pPr>
        <w:tabs>
          <w:tab w:val="num" w:pos="4320"/>
        </w:tabs>
        <w:ind w:left="4320" w:hanging="360"/>
      </w:pPr>
      <w:rPr>
        <w:rFonts w:ascii="Arial" w:hAnsi="Arial" w:hint="default"/>
      </w:rPr>
    </w:lvl>
    <w:lvl w:ilvl="6" w:tplc="3E28018E" w:tentative="1">
      <w:start w:val="1"/>
      <w:numFmt w:val="bullet"/>
      <w:lvlText w:val="•"/>
      <w:lvlJc w:val="left"/>
      <w:pPr>
        <w:tabs>
          <w:tab w:val="num" w:pos="5040"/>
        </w:tabs>
        <w:ind w:left="5040" w:hanging="360"/>
      </w:pPr>
      <w:rPr>
        <w:rFonts w:ascii="Arial" w:hAnsi="Arial" w:hint="default"/>
      </w:rPr>
    </w:lvl>
    <w:lvl w:ilvl="7" w:tplc="DB3057AA" w:tentative="1">
      <w:start w:val="1"/>
      <w:numFmt w:val="bullet"/>
      <w:lvlText w:val="•"/>
      <w:lvlJc w:val="left"/>
      <w:pPr>
        <w:tabs>
          <w:tab w:val="num" w:pos="5760"/>
        </w:tabs>
        <w:ind w:left="5760" w:hanging="360"/>
      </w:pPr>
      <w:rPr>
        <w:rFonts w:ascii="Arial" w:hAnsi="Arial" w:hint="default"/>
      </w:rPr>
    </w:lvl>
    <w:lvl w:ilvl="8" w:tplc="8B3E306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4"/>
  </w:num>
  <w:num w:numId="3">
    <w:abstractNumId w:val="2"/>
  </w:num>
  <w:num w:numId="4">
    <w:abstractNumId w:val="17"/>
  </w:num>
  <w:num w:numId="5">
    <w:abstractNumId w:val="6"/>
  </w:num>
  <w:num w:numId="6">
    <w:abstractNumId w:val="27"/>
  </w:num>
  <w:num w:numId="7">
    <w:abstractNumId w:val="3"/>
  </w:num>
  <w:num w:numId="8">
    <w:abstractNumId w:val="18"/>
  </w:num>
  <w:num w:numId="9">
    <w:abstractNumId w:val="11"/>
  </w:num>
  <w:num w:numId="10">
    <w:abstractNumId w:val="25"/>
  </w:num>
  <w:num w:numId="11">
    <w:abstractNumId w:val="28"/>
  </w:num>
  <w:num w:numId="12">
    <w:abstractNumId w:val="30"/>
  </w:num>
  <w:num w:numId="13">
    <w:abstractNumId w:val="13"/>
  </w:num>
  <w:num w:numId="14">
    <w:abstractNumId w:val="15"/>
  </w:num>
  <w:num w:numId="15">
    <w:abstractNumId w:val="9"/>
  </w:num>
  <w:num w:numId="16">
    <w:abstractNumId w:val="23"/>
  </w:num>
  <w:num w:numId="17">
    <w:abstractNumId w:val="0"/>
  </w:num>
  <w:num w:numId="18">
    <w:abstractNumId w:val="10"/>
  </w:num>
  <w:num w:numId="19">
    <w:abstractNumId w:val="16"/>
  </w:num>
  <w:num w:numId="20">
    <w:abstractNumId w:val="12"/>
  </w:num>
  <w:num w:numId="21">
    <w:abstractNumId w:val="29"/>
  </w:num>
  <w:num w:numId="22">
    <w:abstractNumId w:val="5"/>
  </w:num>
  <w:num w:numId="23">
    <w:abstractNumId w:val="7"/>
  </w:num>
  <w:num w:numId="24">
    <w:abstractNumId w:val="24"/>
  </w:num>
  <w:num w:numId="25">
    <w:abstractNumId w:val="19"/>
  </w:num>
  <w:num w:numId="26">
    <w:abstractNumId w:val="24"/>
  </w:num>
  <w:num w:numId="27">
    <w:abstractNumId w:val="21"/>
  </w:num>
  <w:num w:numId="28">
    <w:abstractNumId w:val="8"/>
  </w:num>
  <w:num w:numId="29">
    <w:abstractNumId w:val="22"/>
  </w:num>
  <w:num w:numId="30">
    <w:abstractNumId w:val="31"/>
  </w:num>
  <w:num w:numId="31">
    <w:abstractNumId w:val="14"/>
  </w:num>
  <w:num w:numId="32">
    <w:abstractNumId w:val="1"/>
  </w:num>
  <w:num w:numId="3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7DA"/>
    <w:rsid w:val="000909E9"/>
    <w:rsid w:val="00090EC5"/>
    <w:rsid w:val="00090F38"/>
    <w:rsid w:val="00091322"/>
    <w:rsid w:val="0009277A"/>
    <w:rsid w:val="00092797"/>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D27"/>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25"/>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5DEA"/>
    <w:rsid w:val="001B65B7"/>
    <w:rsid w:val="001B7169"/>
    <w:rsid w:val="001B7297"/>
    <w:rsid w:val="001B746B"/>
    <w:rsid w:val="001B7862"/>
    <w:rsid w:val="001C06AA"/>
    <w:rsid w:val="001C08A4"/>
    <w:rsid w:val="001C0B7E"/>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3A9"/>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4F2A"/>
    <w:rsid w:val="00215A5E"/>
    <w:rsid w:val="00215AC2"/>
    <w:rsid w:val="00215BCE"/>
    <w:rsid w:val="002175F1"/>
    <w:rsid w:val="00220892"/>
    <w:rsid w:val="002208C7"/>
    <w:rsid w:val="00221759"/>
    <w:rsid w:val="00222EA5"/>
    <w:rsid w:val="0022300A"/>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3DDF"/>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CAD"/>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8A4"/>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CCE"/>
    <w:rsid w:val="00355EA6"/>
    <w:rsid w:val="00356B37"/>
    <w:rsid w:val="00356E4B"/>
    <w:rsid w:val="00357063"/>
    <w:rsid w:val="00357929"/>
    <w:rsid w:val="00357D4A"/>
    <w:rsid w:val="00357E98"/>
    <w:rsid w:val="00360BD9"/>
    <w:rsid w:val="00361305"/>
    <w:rsid w:val="003623EA"/>
    <w:rsid w:val="00363CFD"/>
    <w:rsid w:val="00363E17"/>
    <w:rsid w:val="003641C1"/>
    <w:rsid w:val="0036644E"/>
    <w:rsid w:val="003667D3"/>
    <w:rsid w:val="00366A7F"/>
    <w:rsid w:val="00366B69"/>
    <w:rsid w:val="00366C5A"/>
    <w:rsid w:val="00366F4E"/>
    <w:rsid w:val="00367BA7"/>
    <w:rsid w:val="0037014D"/>
    <w:rsid w:val="00370B4A"/>
    <w:rsid w:val="00370BE8"/>
    <w:rsid w:val="00370E77"/>
    <w:rsid w:val="00371485"/>
    <w:rsid w:val="00371766"/>
    <w:rsid w:val="00371BD2"/>
    <w:rsid w:val="00372273"/>
    <w:rsid w:val="003722B1"/>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3C18"/>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0"/>
    <w:rsid w:val="003942C5"/>
    <w:rsid w:val="003945B6"/>
    <w:rsid w:val="00394AB2"/>
    <w:rsid w:val="0039593E"/>
    <w:rsid w:val="00395BD6"/>
    <w:rsid w:val="00396D93"/>
    <w:rsid w:val="0039757F"/>
    <w:rsid w:val="00397B89"/>
    <w:rsid w:val="00397EB3"/>
    <w:rsid w:val="003A13DD"/>
    <w:rsid w:val="003A2530"/>
    <w:rsid w:val="003A26C8"/>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1FD8"/>
    <w:rsid w:val="0041215A"/>
    <w:rsid w:val="004127B6"/>
    <w:rsid w:val="00412982"/>
    <w:rsid w:val="00413C0F"/>
    <w:rsid w:val="0041402E"/>
    <w:rsid w:val="004146B9"/>
    <w:rsid w:val="00414B96"/>
    <w:rsid w:val="004150E3"/>
    <w:rsid w:val="0041580A"/>
    <w:rsid w:val="00415C82"/>
    <w:rsid w:val="00415E90"/>
    <w:rsid w:val="00415FEA"/>
    <w:rsid w:val="004174BF"/>
    <w:rsid w:val="00417A74"/>
    <w:rsid w:val="00417B0E"/>
    <w:rsid w:val="00420400"/>
    <w:rsid w:val="0042119F"/>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0CD"/>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1F4"/>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A74CF"/>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B12"/>
    <w:rsid w:val="004D6D2E"/>
    <w:rsid w:val="004D744C"/>
    <w:rsid w:val="004D7D7F"/>
    <w:rsid w:val="004E02A3"/>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51"/>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137"/>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1FD3"/>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72F"/>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58F6"/>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4C6"/>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5F75"/>
    <w:rsid w:val="00676023"/>
    <w:rsid w:val="00677391"/>
    <w:rsid w:val="00677793"/>
    <w:rsid w:val="00677B76"/>
    <w:rsid w:val="00680B1D"/>
    <w:rsid w:val="00680F0B"/>
    <w:rsid w:val="0068110E"/>
    <w:rsid w:val="006818CE"/>
    <w:rsid w:val="0068239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1D2"/>
    <w:rsid w:val="006A324E"/>
    <w:rsid w:val="006A36A7"/>
    <w:rsid w:val="006A3A4F"/>
    <w:rsid w:val="006A4C15"/>
    <w:rsid w:val="006A5A90"/>
    <w:rsid w:val="006A5D69"/>
    <w:rsid w:val="006A5E91"/>
    <w:rsid w:val="006A7113"/>
    <w:rsid w:val="006B0130"/>
    <w:rsid w:val="006B0DAC"/>
    <w:rsid w:val="006B10FB"/>
    <w:rsid w:val="006B13BF"/>
    <w:rsid w:val="006B2A9A"/>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20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5CF0"/>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85C"/>
    <w:rsid w:val="00734A4C"/>
    <w:rsid w:val="00734E75"/>
    <w:rsid w:val="00735C16"/>
    <w:rsid w:val="00736031"/>
    <w:rsid w:val="007362CE"/>
    <w:rsid w:val="007363FF"/>
    <w:rsid w:val="00736CE3"/>
    <w:rsid w:val="00737DB6"/>
    <w:rsid w:val="00740EBD"/>
    <w:rsid w:val="00741636"/>
    <w:rsid w:val="00741B98"/>
    <w:rsid w:val="00741E51"/>
    <w:rsid w:val="007423CF"/>
    <w:rsid w:val="00742721"/>
    <w:rsid w:val="00742949"/>
    <w:rsid w:val="00742D4D"/>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2FA6"/>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FEA"/>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4F13"/>
    <w:rsid w:val="008457A2"/>
    <w:rsid w:val="00845C77"/>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398D"/>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18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A65"/>
    <w:rsid w:val="008D5E00"/>
    <w:rsid w:val="008D6D07"/>
    <w:rsid w:val="008D6F8E"/>
    <w:rsid w:val="008D728D"/>
    <w:rsid w:val="008D7FE8"/>
    <w:rsid w:val="008E1064"/>
    <w:rsid w:val="008E1E61"/>
    <w:rsid w:val="008E2284"/>
    <w:rsid w:val="008E2362"/>
    <w:rsid w:val="008E2464"/>
    <w:rsid w:val="008E2520"/>
    <w:rsid w:val="008E281F"/>
    <w:rsid w:val="008E293E"/>
    <w:rsid w:val="008E2EE0"/>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0DA1"/>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5FE1"/>
    <w:rsid w:val="00916325"/>
    <w:rsid w:val="00916676"/>
    <w:rsid w:val="009166B5"/>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222"/>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52"/>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6C"/>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270"/>
    <w:rsid w:val="00A914D0"/>
    <w:rsid w:val="00A91937"/>
    <w:rsid w:val="00A91B1C"/>
    <w:rsid w:val="00A92CD0"/>
    <w:rsid w:val="00A93086"/>
    <w:rsid w:val="00A93819"/>
    <w:rsid w:val="00A93961"/>
    <w:rsid w:val="00A93A34"/>
    <w:rsid w:val="00A94888"/>
    <w:rsid w:val="00A951BA"/>
    <w:rsid w:val="00A956CF"/>
    <w:rsid w:val="00A95BCA"/>
    <w:rsid w:val="00A9671F"/>
    <w:rsid w:val="00A97034"/>
    <w:rsid w:val="00A9755F"/>
    <w:rsid w:val="00A976A8"/>
    <w:rsid w:val="00A97794"/>
    <w:rsid w:val="00A97872"/>
    <w:rsid w:val="00AA0128"/>
    <w:rsid w:val="00AA059D"/>
    <w:rsid w:val="00AA1205"/>
    <w:rsid w:val="00AA1474"/>
    <w:rsid w:val="00AA1639"/>
    <w:rsid w:val="00AA25C1"/>
    <w:rsid w:val="00AA320B"/>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67E"/>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4A"/>
    <w:rsid w:val="00AD49B6"/>
    <w:rsid w:val="00AD4C9D"/>
    <w:rsid w:val="00AD4D86"/>
    <w:rsid w:val="00AD50D1"/>
    <w:rsid w:val="00AD54F0"/>
    <w:rsid w:val="00AD604B"/>
    <w:rsid w:val="00AD60E7"/>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973"/>
    <w:rsid w:val="00AF5CC3"/>
    <w:rsid w:val="00AF6058"/>
    <w:rsid w:val="00AF6BE9"/>
    <w:rsid w:val="00AF70E7"/>
    <w:rsid w:val="00AF7190"/>
    <w:rsid w:val="00AF7752"/>
    <w:rsid w:val="00B00F0F"/>
    <w:rsid w:val="00B011CB"/>
    <w:rsid w:val="00B014CD"/>
    <w:rsid w:val="00B01D2C"/>
    <w:rsid w:val="00B021A6"/>
    <w:rsid w:val="00B0261C"/>
    <w:rsid w:val="00B02A61"/>
    <w:rsid w:val="00B02A7E"/>
    <w:rsid w:val="00B02C2D"/>
    <w:rsid w:val="00B02E39"/>
    <w:rsid w:val="00B04421"/>
    <w:rsid w:val="00B05118"/>
    <w:rsid w:val="00B0675A"/>
    <w:rsid w:val="00B07945"/>
    <w:rsid w:val="00B07C0C"/>
    <w:rsid w:val="00B1226B"/>
    <w:rsid w:val="00B12540"/>
    <w:rsid w:val="00B12847"/>
    <w:rsid w:val="00B140D8"/>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41E"/>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57A"/>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1CF2"/>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3718"/>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0"/>
    <w:rsid w:val="00C81878"/>
    <w:rsid w:val="00C81EE1"/>
    <w:rsid w:val="00C82C6D"/>
    <w:rsid w:val="00C84362"/>
    <w:rsid w:val="00C84A6F"/>
    <w:rsid w:val="00C84C34"/>
    <w:rsid w:val="00C84EEA"/>
    <w:rsid w:val="00C8558E"/>
    <w:rsid w:val="00C858D8"/>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34F1"/>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C68"/>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9D8"/>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1C7E"/>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C5B"/>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6D1"/>
    <w:rsid w:val="00D00D04"/>
    <w:rsid w:val="00D00F5E"/>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C53"/>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88"/>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50A"/>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39EF"/>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4E4C"/>
    <w:rsid w:val="00DB53ED"/>
    <w:rsid w:val="00DB5A54"/>
    <w:rsid w:val="00DB65E0"/>
    <w:rsid w:val="00DB6B49"/>
    <w:rsid w:val="00DB72F9"/>
    <w:rsid w:val="00DB7366"/>
    <w:rsid w:val="00DB78E6"/>
    <w:rsid w:val="00DB7CEF"/>
    <w:rsid w:val="00DC0523"/>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009"/>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6FB2"/>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2A4"/>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4598"/>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19C9"/>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CB4"/>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1D3"/>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371"/>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Task Body"/>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Task Body"/>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0144353">
      <w:bodyDiv w:val="1"/>
      <w:marLeft w:val="0"/>
      <w:marRight w:val="0"/>
      <w:marTop w:val="0"/>
      <w:marBottom w:val="0"/>
      <w:divBdr>
        <w:top w:val="none" w:sz="0" w:space="0" w:color="auto"/>
        <w:left w:val="none" w:sz="0" w:space="0" w:color="auto"/>
        <w:bottom w:val="none" w:sz="0" w:space="0" w:color="auto"/>
        <w:right w:val="none" w:sz="0" w:space="0" w:color="auto"/>
      </w:divBdr>
    </w:div>
    <w:div w:id="200896540">
      <w:bodyDiv w:val="1"/>
      <w:marLeft w:val="0"/>
      <w:marRight w:val="0"/>
      <w:marTop w:val="0"/>
      <w:marBottom w:val="0"/>
      <w:divBdr>
        <w:top w:val="none" w:sz="0" w:space="0" w:color="auto"/>
        <w:left w:val="none" w:sz="0" w:space="0" w:color="auto"/>
        <w:bottom w:val="none" w:sz="0" w:space="0" w:color="auto"/>
        <w:right w:val="none" w:sz="0" w:space="0" w:color="auto"/>
      </w:divBdr>
    </w:div>
    <w:div w:id="318314415">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9220681">
      <w:bodyDiv w:val="1"/>
      <w:marLeft w:val="0"/>
      <w:marRight w:val="0"/>
      <w:marTop w:val="0"/>
      <w:marBottom w:val="0"/>
      <w:divBdr>
        <w:top w:val="none" w:sz="0" w:space="0" w:color="auto"/>
        <w:left w:val="none" w:sz="0" w:space="0" w:color="auto"/>
        <w:bottom w:val="none" w:sz="0" w:space="0" w:color="auto"/>
        <w:right w:val="none" w:sz="0" w:space="0" w:color="auto"/>
      </w:divBdr>
    </w:div>
    <w:div w:id="569385345">
      <w:bodyDiv w:val="1"/>
      <w:marLeft w:val="0"/>
      <w:marRight w:val="0"/>
      <w:marTop w:val="0"/>
      <w:marBottom w:val="0"/>
      <w:divBdr>
        <w:top w:val="none" w:sz="0" w:space="0" w:color="auto"/>
        <w:left w:val="none" w:sz="0" w:space="0" w:color="auto"/>
        <w:bottom w:val="none" w:sz="0" w:space="0" w:color="auto"/>
        <w:right w:val="none" w:sz="0" w:space="0" w:color="auto"/>
      </w:divBdr>
    </w:div>
    <w:div w:id="58315271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4334325">
      <w:bodyDiv w:val="1"/>
      <w:marLeft w:val="0"/>
      <w:marRight w:val="0"/>
      <w:marTop w:val="0"/>
      <w:marBottom w:val="0"/>
      <w:divBdr>
        <w:top w:val="none" w:sz="0" w:space="0" w:color="auto"/>
        <w:left w:val="none" w:sz="0" w:space="0" w:color="auto"/>
        <w:bottom w:val="none" w:sz="0" w:space="0" w:color="auto"/>
        <w:right w:val="none" w:sz="0" w:space="0" w:color="auto"/>
      </w:divBdr>
    </w:div>
    <w:div w:id="97124848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83774699">
      <w:bodyDiv w:val="1"/>
      <w:marLeft w:val="0"/>
      <w:marRight w:val="0"/>
      <w:marTop w:val="0"/>
      <w:marBottom w:val="0"/>
      <w:divBdr>
        <w:top w:val="none" w:sz="0" w:space="0" w:color="auto"/>
        <w:left w:val="none" w:sz="0" w:space="0" w:color="auto"/>
        <w:bottom w:val="none" w:sz="0" w:space="0" w:color="auto"/>
        <w:right w:val="none" w:sz="0" w:space="0" w:color="auto"/>
      </w:divBdr>
    </w:div>
    <w:div w:id="1008674867">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03099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69912614">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143091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9121725">
      <w:bodyDiv w:val="1"/>
      <w:marLeft w:val="0"/>
      <w:marRight w:val="0"/>
      <w:marTop w:val="0"/>
      <w:marBottom w:val="0"/>
      <w:divBdr>
        <w:top w:val="none" w:sz="0" w:space="0" w:color="auto"/>
        <w:left w:val="none" w:sz="0" w:space="0" w:color="auto"/>
        <w:bottom w:val="none" w:sz="0" w:space="0" w:color="auto"/>
        <w:right w:val="none" w:sz="0" w:space="0" w:color="auto"/>
      </w:divBdr>
      <w:divsChild>
        <w:div w:id="641420584">
          <w:marLeft w:val="547"/>
          <w:marRight w:val="0"/>
          <w:marTop w:val="0"/>
          <w:marBottom w:val="0"/>
          <w:divBdr>
            <w:top w:val="none" w:sz="0" w:space="0" w:color="auto"/>
            <w:left w:val="none" w:sz="0" w:space="0" w:color="auto"/>
            <w:bottom w:val="none" w:sz="0" w:space="0" w:color="auto"/>
            <w:right w:val="none" w:sz="0" w:space="0" w:color="auto"/>
          </w:divBdr>
        </w:div>
        <w:div w:id="205265827">
          <w:marLeft w:val="1267"/>
          <w:marRight w:val="0"/>
          <w:marTop w:val="0"/>
          <w:marBottom w:val="0"/>
          <w:divBdr>
            <w:top w:val="none" w:sz="0" w:space="0" w:color="auto"/>
            <w:left w:val="none" w:sz="0" w:space="0" w:color="auto"/>
            <w:bottom w:val="none" w:sz="0" w:space="0" w:color="auto"/>
            <w:right w:val="none" w:sz="0" w:space="0" w:color="auto"/>
          </w:divBdr>
        </w:div>
        <w:div w:id="601228196">
          <w:marLeft w:val="1987"/>
          <w:marRight w:val="0"/>
          <w:marTop w:val="0"/>
          <w:marBottom w:val="0"/>
          <w:divBdr>
            <w:top w:val="none" w:sz="0" w:space="0" w:color="auto"/>
            <w:left w:val="none" w:sz="0" w:space="0" w:color="auto"/>
            <w:bottom w:val="none" w:sz="0" w:space="0" w:color="auto"/>
            <w:right w:val="none" w:sz="0" w:space="0" w:color="auto"/>
          </w:divBdr>
        </w:div>
        <w:div w:id="824130299">
          <w:marLeft w:val="1267"/>
          <w:marRight w:val="0"/>
          <w:marTop w:val="0"/>
          <w:marBottom w:val="0"/>
          <w:divBdr>
            <w:top w:val="none" w:sz="0" w:space="0" w:color="auto"/>
            <w:left w:val="none" w:sz="0" w:space="0" w:color="auto"/>
            <w:bottom w:val="none" w:sz="0" w:space="0" w:color="auto"/>
            <w:right w:val="none" w:sz="0" w:space="0" w:color="auto"/>
          </w:divBdr>
        </w:div>
        <w:div w:id="1398942080">
          <w:marLeft w:val="1987"/>
          <w:marRight w:val="0"/>
          <w:marTop w:val="0"/>
          <w:marBottom w:val="0"/>
          <w:divBdr>
            <w:top w:val="none" w:sz="0" w:space="0" w:color="auto"/>
            <w:left w:val="none" w:sz="0" w:space="0" w:color="auto"/>
            <w:bottom w:val="none" w:sz="0" w:space="0" w:color="auto"/>
            <w:right w:val="none" w:sz="0" w:space="0" w:color="auto"/>
          </w:divBdr>
        </w:div>
        <w:div w:id="1400900169">
          <w:marLeft w:val="547"/>
          <w:marRight w:val="0"/>
          <w:marTop w:val="0"/>
          <w:marBottom w:val="0"/>
          <w:divBdr>
            <w:top w:val="none" w:sz="0" w:space="0" w:color="auto"/>
            <w:left w:val="none" w:sz="0" w:space="0" w:color="auto"/>
            <w:bottom w:val="none" w:sz="0" w:space="0" w:color="auto"/>
            <w:right w:val="none" w:sz="0" w:space="0" w:color="auto"/>
          </w:divBdr>
        </w:div>
        <w:div w:id="1414626808">
          <w:marLeft w:val="1166"/>
          <w:marRight w:val="0"/>
          <w:marTop w:val="0"/>
          <w:marBottom w:val="0"/>
          <w:divBdr>
            <w:top w:val="none" w:sz="0" w:space="0" w:color="auto"/>
            <w:left w:val="none" w:sz="0" w:space="0" w:color="auto"/>
            <w:bottom w:val="none" w:sz="0" w:space="0" w:color="auto"/>
            <w:right w:val="none" w:sz="0" w:space="0" w:color="auto"/>
          </w:divBdr>
        </w:div>
        <w:div w:id="1178933384">
          <w:marLeft w:val="1886"/>
          <w:marRight w:val="0"/>
          <w:marTop w:val="0"/>
          <w:marBottom w:val="0"/>
          <w:divBdr>
            <w:top w:val="none" w:sz="0" w:space="0" w:color="auto"/>
            <w:left w:val="none" w:sz="0" w:space="0" w:color="auto"/>
            <w:bottom w:val="none" w:sz="0" w:space="0" w:color="auto"/>
            <w:right w:val="none" w:sz="0" w:space="0" w:color="auto"/>
          </w:divBdr>
        </w:div>
        <w:div w:id="1923366411">
          <w:marLeft w:val="2606"/>
          <w:marRight w:val="0"/>
          <w:marTop w:val="0"/>
          <w:marBottom w:val="0"/>
          <w:divBdr>
            <w:top w:val="none" w:sz="0" w:space="0" w:color="auto"/>
            <w:left w:val="none" w:sz="0" w:space="0" w:color="auto"/>
            <w:bottom w:val="none" w:sz="0" w:space="0" w:color="auto"/>
            <w:right w:val="none" w:sz="0" w:space="0" w:color="auto"/>
          </w:divBdr>
        </w:div>
        <w:div w:id="1079323641">
          <w:marLeft w:val="2606"/>
          <w:marRight w:val="0"/>
          <w:marTop w:val="0"/>
          <w:marBottom w:val="0"/>
          <w:divBdr>
            <w:top w:val="none" w:sz="0" w:space="0" w:color="auto"/>
            <w:left w:val="none" w:sz="0" w:space="0" w:color="auto"/>
            <w:bottom w:val="none" w:sz="0" w:space="0" w:color="auto"/>
            <w:right w:val="none" w:sz="0" w:space="0" w:color="auto"/>
          </w:divBdr>
        </w:div>
        <w:div w:id="2019116039">
          <w:marLeft w:val="2606"/>
          <w:marRight w:val="0"/>
          <w:marTop w:val="0"/>
          <w:marBottom w:val="0"/>
          <w:divBdr>
            <w:top w:val="none" w:sz="0" w:space="0" w:color="auto"/>
            <w:left w:val="none" w:sz="0" w:space="0" w:color="auto"/>
            <w:bottom w:val="none" w:sz="0" w:space="0" w:color="auto"/>
            <w:right w:val="none" w:sz="0" w:space="0" w:color="auto"/>
          </w:divBdr>
        </w:div>
        <w:div w:id="615795270">
          <w:marLeft w:val="1166"/>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BC739-473C-47D0-83D5-A748D78A0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3</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8690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41</cp:revision>
  <cp:lastPrinted>2007-04-24T00:59:00Z</cp:lastPrinted>
  <dcterms:created xsi:type="dcterms:W3CDTF">2020-09-23T14:16:00Z</dcterms:created>
  <dcterms:modified xsi:type="dcterms:W3CDTF">2020-10-23T11:53:00Z</dcterms:modified>
</cp:coreProperties>
</file>